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2EC6F">
      <w:pPr>
        <w:keepNext/>
        <w:widowControl/>
        <w:ind w:right="-210" w:rightChars="-100"/>
        <w:jc w:val="center"/>
        <w:rPr>
          <w:rFonts w:ascii="仿宋" w:hAnsi="仿宋" w:eastAsia="仿宋" w:cs="仿宋"/>
          <w:sz w:val="28"/>
          <w:szCs w:val="28"/>
        </w:rPr>
      </w:pPr>
      <w:r>
        <w:rPr>
          <w:rFonts w:hint="eastAsia" w:ascii="仿宋" w:hAnsi="仿宋" w:eastAsia="仿宋" w:cs="仿宋"/>
          <w:color w:val="000000"/>
          <w:kern w:val="0"/>
          <w:sz w:val="28"/>
          <w:szCs w:val="28"/>
        </w:rPr>
        <w:t>附件：</w:t>
      </w:r>
      <w:r>
        <w:rPr>
          <w:rFonts w:hint="eastAsia"/>
          <w:sz w:val="28"/>
        </w:rPr>
        <w:t>淮</w:t>
      </w:r>
      <w:r>
        <w:rPr>
          <w:rFonts w:hint="eastAsia" w:ascii="仿宋" w:hAnsi="仿宋" w:eastAsia="仿宋" w:cs="仿宋"/>
          <w:sz w:val="28"/>
          <w:szCs w:val="28"/>
        </w:rPr>
        <w:t>北市202</w:t>
      </w:r>
      <w:r>
        <w:rPr>
          <w:rFonts w:ascii="仿宋" w:hAnsi="仿宋" w:eastAsia="仿宋" w:cs="仿宋"/>
          <w:sz w:val="28"/>
          <w:szCs w:val="28"/>
        </w:rPr>
        <w:t>5</w:t>
      </w:r>
      <w:r>
        <w:rPr>
          <w:rFonts w:hint="eastAsia" w:ascii="仿宋" w:hAnsi="仿宋" w:eastAsia="仿宋" w:cs="仿宋"/>
          <w:sz w:val="28"/>
          <w:szCs w:val="28"/>
        </w:rPr>
        <w:t>年普通高中招生网上志愿填报及录取系统服务采购</w:t>
      </w:r>
    </w:p>
    <w:p w14:paraId="74D4367B">
      <w:pPr>
        <w:pStyle w:val="2"/>
        <w:rPr>
          <w:rFonts w:ascii="仿宋" w:hAnsi="仿宋" w:eastAsia="仿宋" w:cs="仿宋"/>
          <w:sz w:val="28"/>
          <w:szCs w:val="28"/>
          <w:lang w:val="en-US"/>
        </w:rPr>
      </w:pPr>
      <w:r>
        <w:rPr>
          <w:rFonts w:hint="eastAsia" w:ascii="仿宋" w:hAnsi="仿宋" w:eastAsia="仿宋" w:cs="仿宋"/>
          <w:sz w:val="28"/>
          <w:szCs w:val="28"/>
          <w:lang w:val="en-US"/>
        </w:rPr>
        <w:t>文件</w:t>
      </w:r>
    </w:p>
    <w:p w14:paraId="279AF633">
      <w:pPr>
        <w:keepNext/>
        <w:widowControl/>
        <w:ind w:right="-210" w:rightChars="-10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一、供应商须知</w:t>
      </w:r>
    </w:p>
    <w:p w14:paraId="635D2870">
      <w:pPr>
        <w:ind w:firstLine="560" w:firstLineChars="200"/>
        <w:rPr>
          <w:rFonts w:ascii="仿宋" w:hAnsi="仿宋" w:eastAsia="仿宋" w:cs="仿宋"/>
          <w:sz w:val="28"/>
          <w:szCs w:val="28"/>
        </w:rPr>
      </w:pPr>
      <w:r>
        <w:rPr>
          <w:rFonts w:hint="eastAsia" w:ascii="仿宋" w:hAnsi="仿宋" w:eastAsia="仿宋" w:cs="仿宋"/>
          <w:sz w:val="28"/>
          <w:szCs w:val="28"/>
        </w:rPr>
        <w:t>1、供应商就以下采购清单中标的物的相关要求，向采购人一次性提交一正两副共三份书面报价函（格式附后，随意删减内容视作不响应）。报价一经采购人认可，即为签约的合同价，此价格为交货地价格，包括包装费、安装施工调试费、装卸费、运保费、系统集成费用、人员培训费、技术服务费、售后维护费等检测验收前所有费用。报价用人民币报价，单位为元。</w:t>
      </w:r>
    </w:p>
    <w:p w14:paraId="20CF4A89">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2、供应商资质审核具体要求如下：</w:t>
      </w:r>
    </w:p>
    <w:p w14:paraId="37F956A4">
      <w:pPr>
        <w:rPr>
          <w:rFonts w:ascii="仿宋" w:hAnsi="仿宋" w:eastAsia="仿宋" w:cs="仿宋"/>
          <w:sz w:val="28"/>
          <w:szCs w:val="28"/>
        </w:rPr>
      </w:pPr>
      <w:r>
        <w:rPr>
          <w:rFonts w:hint="eastAsia" w:ascii="仿宋" w:hAnsi="仿宋" w:eastAsia="仿宋" w:cs="仿宋"/>
          <w:sz w:val="28"/>
          <w:szCs w:val="28"/>
        </w:rPr>
        <w:t>（1）具有独立承担民事责任的能力。提供具有采购项目相关营业范围的营业执照或三合一证书高清影印件。</w:t>
      </w:r>
    </w:p>
    <w:p w14:paraId="55BBEDFF">
      <w:pPr>
        <w:rPr>
          <w:rFonts w:ascii="仿宋" w:hAnsi="仿宋" w:eastAsia="仿宋" w:cs="仿宋"/>
          <w:sz w:val="28"/>
          <w:szCs w:val="28"/>
        </w:rPr>
      </w:pPr>
      <w:r>
        <w:rPr>
          <w:rFonts w:hint="eastAsia" w:ascii="仿宋" w:hAnsi="仿宋" w:eastAsia="仿宋" w:cs="仿宋"/>
          <w:sz w:val="28"/>
          <w:szCs w:val="28"/>
        </w:rPr>
        <w:t>（2）提供上一年度的财务报告高清影印件，至少包括资产负债表和利润表，或提供银行资信证明书；</w:t>
      </w:r>
    </w:p>
    <w:p w14:paraId="14F73487">
      <w:pPr>
        <w:rPr>
          <w:rFonts w:ascii="仿宋" w:hAnsi="仿宋" w:eastAsia="仿宋" w:cs="仿宋"/>
          <w:sz w:val="28"/>
          <w:szCs w:val="28"/>
        </w:rPr>
      </w:pPr>
      <w:r>
        <w:rPr>
          <w:rFonts w:hint="eastAsia" w:ascii="仿宋" w:hAnsi="仿宋" w:eastAsia="仿宋" w:cs="仿宋"/>
          <w:sz w:val="28"/>
          <w:szCs w:val="28"/>
        </w:rPr>
        <w:t>（3）提供有能力独立完成此项目、不转包的承诺函；</w:t>
      </w:r>
    </w:p>
    <w:p w14:paraId="31AD13E9">
      <w:pPr>
        <w:rPr>
          <w:rFonts w:ascii="仿宋" w:hAnsi="仿宋" w:eastAsia="仿宋" w:cs="仿宋"/>
          <w:sz w:val="28"/>
          <w:szCs w:val="28"/>
        </w:rPr>
      </w:pPr>
      <w:r>
        <w:rPr>
          <w:rFonts w:hint="eastAsia" w:ascii="仿宋" w:hAnsi="仿宋" w:eastAsia="仿宋" w:cs="仿宋"/>
          <w:sz w:val="28"/>
          <w:szCs w:val="28"/>
        </w:rPr>
        <w:t>（4）提供法人资格证明或法人授权书，格式自拟；</w:t>
      </w:r>
    </w:p>
    <w:p w14:paraId="4E7F9710">
      <w:pPr>
        <w:rPr>
          <w:rFonts w:ascii="仿宋" w:hAnsi="仿宋" w:eastAsia="仿宋" w:cs="仿宋"/>
          <w:color w:val="000000"/>
          <w:sz w:val="28"/>
          <w:szCs w:val="28"/>
        </w:rPr>
      </w:pPr>
      <w:r>
        <w:rPr>
          <w:rFonts w:hint="eastAsia" w:ascii="仿宋" w:hAnsi="仿宋" w:eastAsia="仿宋" w:cs="仿宋"/>
          <w:color w:val="000000"/>
          <w:sz w:val="28"/>
          <w:szCs w:val="28"/>
        </w:rPr>
        <w:t>（5）提供售后服务承诺函；</w:t>
      </w:r>
    </w:p>
    <w:p w14:paraId="744D12CF">
      <w:pPr>
        <w:rPr>
          <w:rFonts w:ascii="仿宋" w:hAnsi="仿宋" w:eastAsia="仿宋" w:cs="仿宋"/>
          <w:color w:val="000000"/>
          <w:sz w:val="28"/>
          <w:szCs w:val="28"/>
        </w:rPr>
      </w:pPr>
      <w:r>
        <w:rPr>
          <w:rFonts w:hint="eastAsia" w:ascii="仿宋" w:hAnsi="仿宋" w:eastAsia="仿宋" w:cs="仿宋"/>
          <w:color w:val="000000"/>
          <w:sz w:val="28"/>
          <w:szCs w:val="28"/>
        </w:rPr>
        <w:t>上述资料加盖投标人鲜章，装订进报价函，</w:t>
      </w:r>
      <w:r>
        <w:rPr>
          <w:rFonts w:hint="eastAsia" w:ascii="仿宋" w:hAnsi="仿宋" w:eastAsia="仿宋" w:cs="仿宋"/>
          <w:sz w:val="28"/>
          <w:szCs w:val="28"/>
        </w:rPr>
        <w:t>现场查验投标人身份证，</w:t>
      </w:r>
      <w:r>
        <w:rPr>
          <w:rFonts w:hint="eastAsia" w:ascii="仿宋" w:hAnsi="仿宋" w:eastAsia="仿宋" w:cs="仿宋"/>
          <w:color w:val="000000"/>
          <w:sz w:val="28"/>
          <w:szCs w:val="28"/>
        </w:rPr>
        <w:t>如有一项不符将视为不满足供应商资格。</w:t>
      </w:r>
    </w:p>
    <w:p w14:paraId="681D90A3">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3、本项目不分包，未密封、装订、盖章的报价函视为无效的报价函。供应商须投报所有货物和服务，并只能有一个报价，多方案、多报价视为不响应报价。</w:t>
      </w:r>
    </w:p>
    <w:p w14:paraId="065887CF">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供应商可以拒绝对采购人的采购函作出报价，但一经作出报价，即被视为理解并认可以上所有要求，且不可撤回。否则，采购人在此后的一年内将不允许该公司参加采购人的所有采购活动，造成损失的将追究其赔偿或法律责任。</w:t>
      </w:r>
    </w:p>
    <w:p w14:paraId="7437DB1A">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5、本项目如有更改，采购人将在淮北市教育网公开发布澄清函，澄清函为采购函不可分割的部分，请供应商注意查阅，否则责任自负，项目成交结果将在网上公布。</w:t>
      </w:r>
    </w:p>
    <w:p w14:paraId="629FA0BA">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项目合同参照政府采购合同格式结合项目实际自拟。无故弃标供应商取消其1至3年内在淮北市教育系统投标资格，并上报市公管局、交易中心备案。造成其他损失的，依法承担赔偿责任；构成犯罪的，依法追究法律责任。</w:t>
      </w:r>
    </w:p>
    <w:p w14:paraId="05FA1F87">
      <w:pPr>
        <w:jc w:val="center"/>
        <w:rPr>
          <w:rFonts w:ascii="仿宋" w:hAnsi="仿宋" w:eastAsia="仿宋" w:cs="仿宋"/>
          <w:color w:val="000000"/>
          <w:sz w:val="28"/>
          <w:szCs w:val="28"/>
        </w:rPr>
      </w:pPr>
      <w:r>
        <w:rPr>
          <w:rFonts w:hint="eastAsia" w:ascii="仿宋" w:hAnsi="仿宋" w:eastAsia="仿宋" w:cs="仿宋"/>
          <w:b/>
          <w:bCs/>
          <w:color w:val="000000"/>
          <w:sz w:val="28"/>
          <w:szCs w:val="28"/>
        </w:rPr>
        <w:t>二、供货期与质保期</w:t>
      </w:r>
    </w:p>
    <w:p w14:paraId="058E8D7F">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合同生效后，</w:t>
      </w:r>
      <w:r>
        <w:rPr>
          <w:rFonts w:hint="eastAsia" w:ascii="仿宋" w:hAnsi="仿宋" w:eastAsia="仿宋" w:cs="仿宋"/>
          <w:sz w:val="28"/>
          <w:szCs w:val="28"/>
        </w:rPr>
        <w:t>服务期限3年</w:t>
      </w:r>
      <w:r>
        <w:rPr>
          <w:rFonts w:hint="eastAsia" w:ascii="仿宋" w:hAnsi="仿宋" w:eastAsia="仿宋" w:cs="仿宋"/>
          <w:color w:val="000000"/>
          <w:sz w:val="28"/>
          <w:szCs w:val="28"/>
        </w:rPr>
        <w:t>。考核合格，合同一年一签。</w:t>
      </w:r>
    </w:p>
    <w:p w14:paraId="17FB7142">
      <w:pPr>
        <w:ind w:firstLine="562" w:firstLineChars="200"/>
        <w:jc w:val="center"/>
        <w:rPr>
          <w:rFonts w:ascii="仿宋" w:hAnsi="仿宋" w:eastAsia="仿宋" w:cs="仿宋"/>
          <w:color w:val="000000"/>
          <w:sz w:val="28"/>
          <w:szCs w:val="28"/>
        </w:rPr>
      </w:pPr>
      <w:r>
        <w:rPr>
          <w:rFonts w:hint="eastAsia" w:ascii="仿宋" w:hAnsi="仿宋" w:eastAsia="仿宋" w:cs="仿宋"/>
          <w:b/>
          <w:bCs/>
          <w:color w:val="000000"/>
          <w:sz w:val="28"/>
          <w:szCs w:val="28"/>
        </w:rPr>
        <w:t>三、售后服务承诺函</w:t>
      </w:r>
    </w:p>
    <w:p w14:paraId="1D45CCA3">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供应商应就以上标的物的技术支持与售后服务及方案做出书面承诺。</w:t>
      </w:r>
    </w:p>
    <w:p w14:paraId="681837E6">
      <w:pPr>
        <w:jc w:val="center"/>
        <w:rPr>
          <w:rFonts w:ascii="仿宋" w:hAnsi="仿宋" w:eastAsia="仿宋" w:cs="仿宋"/>
          <w:color w:val="000000"/>
          <w:sz w:val="28"/>
          <w:szCs w:val="28"/>
        </w:rPr>
      </w:pPr>
      <w:r>
        <w:rPr>
          <w:rFonts w:hint="eastAsia" w:ascii="仿宋" w:hAnsi="仿宋" w:eastAsia="仿宋" w:cs="仿宋"/>
          <w:b/>
          <w:bCs/>
          <w:color w:val="000000"/>
          <w:sz w:val="28"/>
          <w:szCs w:val="28"/>
        </w:rPr>
        <w:t>四、验收与支付</w:t>
      </w:r>
    </w:p>
    <w:p w14:paraId="39DC789B">
      <w:pPr>
        <w:ind w:firstLine="560" w:firstLineChars="200"/>
        <w:jc w:val="left"/>
        <w:rPr>
          <w:rFonts w:ascii="仿宋" w:hAnsi="仿宋" w:eastAsia="仿宋" w:cs="仿宋"/>
          <w:sz w:val="28"/>
          <w:szCs w:val="28"/>
        </w:rPr>
      </w:pPr>
      <w:r>
        <w:rPr>
          <w:rFonts w:hint="eastAsia" w:ascii="仿宋" w:hAnsi="仿宋" w:eastAsia="仿宋" w:cs="仿宋"/>
          <w:sz w:val="28"/>
          <w:szCs w:val="28"/>
        </w:rPr>
        <w:t>项目由中标人提出申请、采购人组织验收，检验及验收费用由中标商承担，验收合格后按合同约定支付。</w:t>
      </w:r>
    </w:p>
    <w:p w14:paraId="66081E68">
      <w:pPr>
        <w:jc w:val="center"/>
        <w:rPr>
          <w:rFonts w:ascii="仿宋" w:hAnsi="仿宋" w:eastAsia="仿宋" w:cs="仿宋"/>
          <w:b/>
          <w:bCs/>
          <w:color w:val="000000"/>
          <w:sz w:val="28"/>
          <w:szCs w:val="28"/>
          <w:lang w:val="zh-CN"/>
        </w:rPr>
      </w:pPr>
      <w:r>
        <w:rPr>
          <w:rFonts w:hint="eastAsia" w:ascii="仿宋" w:hAnsi="仿宋" w:eastAsia="仿宋" w:cs="仿宋"/>
          <w:b/>
          <w:bCs/>
          <w:color w:val="000000"/>
          <w:sz w:val="28"/>
          <w:szCs w:val="28"/>
        </w:rPr>
        <w:t>五、项目</w:t>
      </w:r>
      <w:r>
        <w:rPr>
          <w:rFonts w:hint="eastAsia" w:ascii="仿宋" w:hAnsi="仿宋" w:eastAsia="仿宋" w:cs="仿宋"/>
          <w:b/>
          <w:bCs/>
          <w:color w:val="000000"/>
          <w:sz w:val="28"/>
          <w:szCs w:val="28"/>
          <w:lang w:val="zh-CN"/>
        </w:rPr>
        <w:t>具体</w:t>
      </w:r>
      <w:r>
        <w:rPr>
          <w:rFonts w:hint="eastAsia" w:ascii="仿宋" w:hAnsi="仿宋" w:eastAsia="仿宋" w:cs="仿宋"/>
          <w:b/>
          <w:bCs/>
          <w:color w:val="000000"/>
          <w:sz w:val="28"/>
          <w:szCs w:val="28"/>
        </w:rPr>
        <w:t>需求</w:t>
      </w:r>
    </w:p>
    <w:p w14:paraId="216D3062">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本采购需求中提出的技术方案仅为参考，如无明确限制，投标供应商可以进行优化，提供满足采购人实际需要的更优（或者性能实质上不低于的）技术方案或者设备配置，且此方案或配置须经评标委员会评审认可；</w:t>
      </w:r>
    </w:p>
    <w:p w14:paraId="3CAE771B">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2、设备技术参数在能够满足采购人使用的情况下允许偏离，但供应商应在投标文件中提出偏离说明，供评标委员会评审，</w:t>
      </w:r>
      <w:r>
        <w:rPr>
          <w:rFonts w:hint="eastAsia" w:ascii="仿宋" w:hAnsi="仿宋" w:eastAsia="仿宋" w:cs="仿宋"/>
          <w:kern w:val="0"/>
          <w:sz w:val="28"/>
          <w:szCs w:val="28"/>
        </w:rPr>
        <w:t>否则可能会被视为不完全响应</w:t>
      </w:r>
      <w:r>
        <w:rPr>
          <w:rFonts w:hint="eastAsia" w:ascii="仿宋" w:hAnsi="仿宋" w:eastAsia="仿宋" w:cs="仿宋"/>
          <w:kern w:val="0"/>
          <w:sz w:val="28"/>
          <w:szCs w:val="28"/>
          <w:lang w:val="zh-CN"/>
        </w:rPr>
        <w:t>；</w:t>
      </w:r>
    </w:p>
    <w:p w14:paraId="26E29157">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3、投标供应商</w:t>
      </w:r>
      <w:r>
        <w:rPr>
          <w:rFonts w:hint="eastAsia" w:ascii="仿宋" w:hAnsi="仿宋" w:eastAsia="仿宋" w:cs="仿宋"/>
          <w:kern w:val="0"/>
          <w:sz w:val="28"/>
          <w:szCs w:val="28"/>
        </w:rPr>
        <w:t>需</w:t>
      </w:r>
      <w:r>
        <w:rPr>
          <w:rFonts w:hint="eastAsia" w:ascii="仿宋" w:hAnsi="仿宋" w:eastAsia="仿宋" w:cs="仿宋"/>
          <w:kern w:val="0"/>
          <w:sz w:val="28"/>
          <w:szCs w:val="28"/>
          <w:lang w:val="zh-CN"/>
        </w:rPr>
        <w:t>自行踏勘项目现场，了解</w:t>
      </w:r>
      <w:r>
        <w:rPr>
          <w:rFonts w:hint="eastAsia" w:ascii="仿宋" w:hAnsi="仿宋" w:eastAsia="仿宋" w:cs="仿宋"/>
          <w:kern w:val="0"/>
          <w:sz w:val="28"/>
          <w:szCs w:val="28"/>
        </w:rPr>
        <w:t>项目需求</w:t>
      </w:r>
      <w:r>
        <w:rPr>
          <w:rFonts w:hint="eastAsia" w:ascii="仿宋" w:hAnsi="仿宋" w:eastAsia="仿宋" w:cs="仿宋"/>
          <w:kern w:val="0"/>
          <w:sz w:val="28"/>
          <w:szCs w:val="28"/>
          <w:lang w:val="zh-CN"/>
        </w:rPr>
        <w:t>，如投标供应商因未及时踏勘现场而导致的报价缺项漏项废标、或中标后无法完工，投标供应商自行承担一切后果；</w:t>
      </w:r>
    </w:p>
    <w:p w14:paraId="4D8DAF89">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4、下列采购需求中，如果要求提供产品相关证明材料，投标供应商须在投标文件中提供上述资料</w:t>
      </w:r>
      <w:r>
        <w:rPr>
          <w:rFonts w:hint="eastAsia" w:ascii="仿宋" w:hAnsi="仿宋" w:eastAsia="仿宋" w:cs="仿宋"/>
          <w:kern w:val="0"/>
          <w:sz w:val="28"/>
          <w:szCs w:val="28"/>
        </w:rPr>
        <w:t>复印件加盖单位公章</w:t>
      </w:r>
      <w:r>
        <w:rPr>
          <w:rFonts w:hint="eastAsia" w:ascii="仿宋" w:hAnsi="仿宋" w:eastAsia="仿宋" w:cs="仿宋"/>
          <w:kern w:val="0"/>
          <w:sz w:val="28"/>
          <w:szCs w:val="28"/>
          <w:lang w:val="zh-CN"/>
        </w:rPr>
        <w:t>；</w:t>
      </w:r>
    </w:p>
    <w:p w14:paraId="79671101">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5、验收标准应当按照政府采购合同规定的技术、服务、安全标准组织对供应商履约情况进行验收。</w:t>
      </w:r>
    </w:p>
    <w:p w14:paraId="724AC31A">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6</w:t>
      </w:r>
      <w:r>
        <w:rPr>
          <w:rFonts w:hint="eastAsia" w:ascii="仿宋" w:hAnsi="仿宋" w:eastAsia="仿宋" w:cs="仿宋"/>
          <w:kern w:val="0"/>
          <w:sz w:val="28"/>
          <w:szCs w:val="28"/>
          <w:lang w:val="zh-CN"/>
        </w:rPr>
        <w:t>、如对本招标文件有任何疑问或澄清要求，请联系项目采购人，否则视同理解和接受。</w:t>
      </w:r>
    </w:p>
    <w:p w14:paraId="432815DD">
      <w:pPr>
        <w:ind w:firstLine="560" w:firstLineChars="200"/>
        <w:jc w:val="left"/>
        <w:rPr>
          <w:rFonts w:ascii="仿宋" w:hAnsi="仿宋" w:eastAsia="仿宋" w:cs="仿宋"/>
          <w:sz w:val="28"/>
          <w:szCs w:val="28"/>
        </w:rPr>
      </w:pPr>
      <w:r>
        <w:rPr>
          <w:rFonts w:hint="eastAsia" w:ascii="仿宋" w:hAnsi="仿宋" w:eastAsia="仿宋" w:cs="仿宋"/>
          <w:kern w:val="0"/>
          <w:sz w:val="28"/>
          <w:szCs w:val="28"/>
        </w:rPr>
        <w:t>7</w:t>
      </w:r>
      <w:r>
        <w:rPr>
          <w:rFonts w:hint="eastAsia" w:ascii="仿宋" w:hAnsi="仿宋" w:eastAsia="仿宋" w:cs="仿宋"/>
          <w:kern w:val="0"/>
          <w:sz w:val="28"/>
          <w:szCs w:val="28"/>
          <w:lang w:val="zh-CN"/>
        </w:rPr>
        <w:t>、</w:t>
      </w:r>
      <w:r>
        <w:rPr>
          <w:rFonts w:hint="eastAsia" w:ascii="仿宋" w:hAnsi="仿宋" w:eastAsia="仿宋" w:cs="仿宋"/>
          <w:sz w:val="28"/>
          <w:szCs w:val="28"/>
        </w:rPr>
        <w:t>货物需求中某项参数若属于某品牌产品专有指标的，投标商在公示期间或报价时能提供真实材料佐证的，经评审小组评审认可的，可不作为响应项。</w:t>
      </w:r>
    </w:p>
    <w:p w14:paraId="7A33A1E7">
      <w:pPr>
        <w:pStyle w:val="2"/>
        <w:ind w:left="1607" w:leftChars="232" w:hanging="1120" w:hangingChars="400"/>
        <w:rPr>
          <w:rFonts w:ascii="仿宋" w:hAnsi="仿宋" w:eastAsia="仿宋" w:cs="仿宋"/>
          <w:color w:val="000000"/>
          <w:kern w:val="0"/>
          <w:sz w:val="28"/>
          <w:szCs w:val="28"/>
          <w:lang w:val="en-US"/>
        </w:rPr>
      </w:pPr>
    </w:p>
    <w:p w14:paraId="3B576AC6">
      <w:pPr>
        <w:pStyle w:val="3"/>
      </w:pPr>
    </w:p>
    <w:p w14:paraId="2A901E36">
      <w:pPr>
        <w:pStyle w:val="20"/>
      </w:pPr>
    </w:p>
    <w:p w14:paraId="1F5C9B39"/>
    <w:p w14:paraId="45712396">
      <w:pPr>
        <w:pStyle w:val="2"/>
        <w:rPr>
          <w:lang w:val="en-US"/>
        </w:rPr>
      </w:pPr>
    </w:p>
    <w:p w14:paraId="266E4F68">
      <w:pPr>
        <w:pStyle w:val="2"/>
        <w:ind w:left="1607" w:leftChars="232" w:hanging="1120" w:hangingChars="400"/>
        <w:rPr>
          <w:rFonts w:ascii="仿宋" w:hAnsi="仿宋" w:eastAsia="仿宋" w:cs="仿宋"/>
          <w:color w:val="000000"/>
          <w:kern w:val="0"/>
          <w:sz w:val="28"/>
          <w:szCs w:val="28"/>
          <w:lang w:val="en-US"/>
        </w:rPr>
      </w:pPr>
    </w:p>
    <w:p w14:paraId="5FCCBC26">
      <w:pPr>
        <w:pStyle w:val="2"/>
        <w:ind w:left="1607" w:leftChars="232" w:hanging="1120" w:hangingChars="400"/>
        <w:rPr>
          <w:rFonts w:ascii="仿宋" w:hAnsi="仿宋" w:eastAsia="仿宋" w:cs="仿宋"/>
          <w:color w:val="000000"/>
          <w:kern w:val="0"/>
          <w:sz w:val="28"/>
          <w:szCs w:val="28"/>
          <w:lang w:val="en-US"/>
        </w:rPr>
      </w:pPr>
    </w:p>
    <w:p w14:paraId="1231AF00">
      <w:pPr>
        <w:spacing w:line="360" w:lineRule="auto"/>
        <w:jc w:val="center"/>
        <w:rPr>
          <w:rFonts w:ascii="方正小标宋简体" w:hAnsi="仿宋" w:eastAsia="方正小标宋简体"/>
          <w:kern w:val="0"/>
          <w:sz w:val="40"/>
          <w:szCs w:val="36"/>
        </w:rPr>
      </w:pPr>
      <w:bookmarkStart w:id="0" w:name="OLE_LINK34"/>
      <w:bookmarkStart w:id="1" w:name="OLE_LINK33"/>
      <w:r>
        <w:rPr>
          <w:rFonts w:hint="eastAsia" w:ascii="方正小标宋简体" w:hAnsi="仿宋" w:eastAsia="方正小标宋简体" w:cs="仿宋"/>
          <w:color w:val="000000"/>
          <w:kern w:val="0"/>
          <w:sz w:val="28"/>
          <w:szCs w:val="28"/>
        </w:rPr>
        <w:t>淮北市202</w:t>
      </w:r>
      <w:r>
        <w:rPr>
          <w:rFonts w:ascii="方正小标宋简体" w:hAnsi="仿宋" w:eastAsia="方正小标宋简体" w:cs="仿宋"/>
          <w:color w:val="000000"/>
          <w:kern w:val="0"/>
          <w:sz w:val="28"/>
          <w:szCs w:val="28"/>
        </w:rPr>
        <w:t>5</w:t>
      </w:r>
      <w:r>
        <w:rPr>
          <w:rFonts w:hint="eastAsia" w:ascii="方正小标宋简体" w:hAnsi="仿宋" w:eastAsia="方正小标宋简体" w:cs="仿宋"/>
          <w:color w:val="000000"/>
          <w:kern w:val="0"/>
          <w:sz w:val="28"/>
          <w:szCs w:val="28"/>
        </w:rPr>
        <w:t>年普通高中招生网上志愿填报及录取系统服务具体需求</w:t>
      </w:r>
    </w:p>
    <w:p w14:paraId="2D93A311">
      <w:pPr>
        <w:spacing w:line="360" w:lineRule="auto"/>
        <w:ind w:left="359" w:leftChars="171" w:firstLine="720" w:firstLineChars="200"/>
        <w:jc w:val="center"/>
        <w:rPr>
          <w:rFonts w:ascii="方正小标宋简体" w:hAnsi="仿宋" w:eastAsia="方正小标宋简体"/>
          <w:kern w:val="0"/>
          <w:sz w:val="36"/>
          <w:szCs w:val="36"/>
        </w:rPr>
      </w:pPr>
    </w:p>
    <w:p w14:paraId="2347BC79">
      <w:pPr>
        <w:pStyle w:val="36"/>
        <w:numPr>
          <w:ilvl w:val="0"/>
          <w:numId w:val="1"/>
        </w:numPr>
        <w:spacing w:line="360" w:lineRule="auto"/>
        <w:ind w:firstLineChars="0"/>
        <w:rPr>
          <w:rFonts w:ascii="仿宋" w:hAnsi="仿宋" w:eastAsia="仿宋"/>
          <w:b/>
          <w:kern w:val="0"/>
          <w:sz w:val="32"/>
          <w:szCs w:val="36"/>
        </w:rPr>
      </w:pPr>
      <w:r>
        <w:rPr>
          <w:rFonts w:hint="eastAsia" w:ascii="仿宋" w:hAnsi="仿宋" w:eastAsia="仿宋"/>
          <w:b/>
          <w:kern w:val="0"/>
          <w:sz w:val="32"/>
          <w:szCs w:val="36"/>
        </w:rPr>
        <w:t>项目概况</w:t>
      </w:r>
    </w:p>
    <w:p w14:paraId="4C2637E8">
      <w:pPr>
        <w:pStyle w:val="34"/>
        <w:spacing w:line="560" w:lineRule="exact"/>
        <w:ind w:firstLine="560" w:firstLineChars="200"/>
        <w:rPr>
          <w:sz w:val="28"/>
        </w:rPr>
      </w:pPr>
      <w:r>
        <w:rPr>
          <w:rFonts w:hint="eastAsia"/>
          <w:sz w:val="28"/>
        </w:rPr>
        <w:t>本次公开招标项目为淮北市202</w:t>
      </w:r>
      <w:r>
        <w:rPr>
          <w:sz w:val="28"/>
        </w:rPr>
        <w:t>5</w:t>
      </w:r>
      <w:r>
        <w:rPr>
          <w:rFonts w:hint="eastAsia"/>
          <w:sz w:val="28"/>
        </w:rPr>
        <w:t>年普通高中招生网上志愿填报及录取系统服务。为了规范淮北市高中教育阶段学校招生工作，根据淮北市招生</w:t>
      </w:r>
      <w:r>
        <w:rPr>
          <w:sz w:val="28"/>
        </w:rPr>
        <w:t>工作的实际需求</w:t>
      </w:r>
      <w:r>
        <w:rPr>
          <w:rFonts w:hint="eastAsia"/>
          <w:sz w:val="28"/>
        </w:rPr>
        <w:t>，开发普通高中</w:t>
      </w:r>
      <w:r>
        <w:rPr>
          <w:sz w:val="28"/>
        </w:rPr>
        <w:t>招生网上志愿填报及录取系统</w:t>
      </w:r>
      <w:r>
        <w:rPr>
          <w:rFonts w:hint="eastAsia"/>
          <w:sz w:val="28"/>
        </w:rPr>
        <w:t>（以下简称普通</w:t>
      </w:r>
      <w:r>
        <w:rPr>
          <w:sz w:val="28"/>
        </w:rPr>
        <w:t>高中招生</w:t>
      </w:r>
      <w:r>
        <w:rPr>
          <w:rFonts w:hint="eastAsia"/>
          <w:sz w:val="28"/>
        </w:rPr>
        <w:t>管理平台），系统主要包含网上志愿填报、招生录取、</w:t>
      </w:r>
      <w:r>
        <w:rPr>
          <w:sz w:val="28"/>
        </w:rPr>
        <w:t>平台</w:t>
      </w:r>
      <w:r>
        <w:rPr>
          <w:rFonts w:hint="eastAsia"/>
          <w:sz w:val="28"/>
        </w:rPr>
        <w:t>云端建设等。</w:t>
      </w:r>
    </w:p>
    <w:p w14:paraId="2507F05A">
      <w:pPr>
        <w:spacing w:line="560" w:lineRule="exact"/>
        <w:ind w:firstLine="560" w:firstLineChars="200"/>
        <w:rPr>
          <w:rFonts w:ascii="宋体" w:hAnsi="宋体"/>
          <w:sz w:val="28"/>
          <w:szCs w:val="26"/>
        </w:rPr>
      </w:pPr>
      <w:r>
        <w:rPr>
          <w:rFonts w:ascii="宋体" w:hAnsi="宋体"/>
          <w:sz w:val="28"/>
          <w:szCs w:val="26"/>
        </w:rPr>
        <w:t>2025</w:t>
      </w:r>
      <w:r>
        <w:rPr>
          <w:rFonts w:hint="eastAsia" w:ascii="宋体" w:hAnsi="宋体"/>
          <w:sz w:val="28"/>
          <w:szCs w:val="26"/>
        </w:rPr>
        <w:t>年项目总预算为</w:t>
      </w:r>
      <w:r>
        <w:rPr>
          <w:rFonts w:ascii="宋体" w:hAnsi="宋体"/>
          <w:sz w:val="28"/>
          <w:szCs w:val="26"/>
        </w:rPr>
        <w:t>6.5</w:t>
      </w:r>
      <w:r>
        <w:rPr>
          <w:rFonts w:hint="eastAsia" w:ascii="宋体" w:hAnsi="宋体"/>
          <w:sz w:val="28"/>
          <w:szCs w:val="26"/>
        </w:rPr>
        <w:t>万元（陆</w:t>
      </w:r>
      <w:r>
        <w:rPr>
          <w:rFonts w:ascii="宋体" w:hAnsi="宋体"/>
          <w:sz w:val="28"/>
          <w:szCs w:val="26"/>
        </w:rPr>
        <w:t>万</w:t>
      </w:r>
      <w:r>
        <w:rPr>
          <w:rFonts w:hint="eastAsia" w:ascii="宋体" w:hAnsi="宋体"/>
          <w:sz w:val="28"/>
          <w:szCs w:val="26"/>
        </w:rPr>
        <w:t>伍</w:t>
      </w:r>
      <w:r>
        <w:rPr>
          <w:rFonts w:ascii="宋体" w:hAnsi="宋体"/>
          <w:sz w:val="28"/>
          <w:szCs w:val="26"/>
        </w:rPr>
        <w:t>仟元</w:t>
      </w:r>
      <w:r>
        <w:rPr>
          <w:rFonts w:hint="eastAsia" w:ascii="宋体" w:hAnsi="宋体"/>
          <w:sz w:val="28"/>
          <w:szCs w:val="26"/>
        </w:rPr>
        <w:t>整）,服务考生</w:t>
      </w:r>
      <w:r>
        <w:rPr>
          <w:rFonts w:ascii="宋体" w:hAnsi="宋体"/>
          <w:sz w:val="28"/>
          <w:szCs w:val="26"/>
        </w:rPr>
        <w:t>暂定</w:t>
      </w:r>
      <w:r>
        <w:rPr>
          <w:rFonts w:hint="eastAsia" w:ascii="宋体" w:hAnsi="宋体"/>
          <w:sz w:val="28"/>
          <w:szCs w:val="26"/>
        </w:rPr>
        <w:t>为24000名</w:t>
      </w:r>
      <w:r>
        <w:rPr>
          <w:rFonts w:ascii="宋体" w:hAnsi="宋体"/>
          <w:sz w:val="28"/>
          <w:szCs w:val="26"/>
        </w:rPr>
        <w:t>。</w:t>
      </w:r>
      <w:r>
        <w:rPr>
          <w:rFonts w:hint="eastAsia" w:ascii="宋体" w:hAnsi="宋体"/>
          <w:sz w:val="28"/>
          <w:szCs w:val="26"/>
        </w:rPr>
        <w:t>服务期限为合同签订后1年，服务期满后，如中标人履约良好，在资金到位且双方均同意的前提下，可以续签下一年合同，最多续签2年，合同一年一签。</w:t>
      </w:r>
    </w:p>
    <w:p w14:paraId="059C1750">
      <w:pPr>
        <w:pStyle w:val="34"/>
        <w:spacing w:line="240" w:lineRule="auto"/>
        <w:rPr>
          <w:rFonts w:ascii="仿宋" w:hAnsi="仿宋" w:eastAsia="仿宋"/>
          <w:b/>
          <w:kern w:val="0"/>
          <w:sz w:val="32"/>
          <w:szCs w:val="36"/>
        </w:rPr>
      </w:pPr>
      <w:r>
        <w:rPr>
          <w:rFonts w:hint="eastAsia" w:ascii="仿宋" w:hAnsi="仿宋" w:eastAsia="仿宋"/>
          <w:b/>
          <w:kern w:val="0"/>
          <w:sz w:val="32"/>
          <w:szCs w:val="36"/>
        </w:rPr>
        <w:t>技术服务要求</w:t>
      </w:r>
    </w:p>
    <w:bookmarkEnd w:id="0"/>
    <w:bookmarkEnd w:id="1"/>
    <w:p w14:paraId="0F6C535A">
      <w:pPr>
        <w:pStyle w:val="34"/>
        <w:spacing w:line="240" w:lineRule="auto"/>
        <w:rPr>
          <w:sz w:val="28"/>
        </w:rPr>
      </w:pPr>
      <w:r>
        <w:rPr>
          <w:rFonts w:hint="eastAsia"/>
          <w:sz w:val="28"/>
        </w:rPr>
        <w:t>淮北市</w:t>
      </w:r>
      <w:r>
        <w:rPr>
          <w:sz w:val="28"/>
        </w:rPr>
        <w:t>普通高中招生管理平台</w:t>
      </w:r>
      <w:r>
        <w:rPr>
          <w:rFonts w:hint="eastAsia"/>
          <w:sz w:val="28"/>
        </w:rPr>
        <w:t>包括：系统管理、数据管理、网上填报志愿、招生录取、</w:t>
      </w:r>
      <w:r>
        <w:rPr>
          <w:sz w:val="28"/>
        </w:rPr>
        <w:t>网上</w:t>
      </w:r>
      <w:r>
        <w:rPr>
          <w:rFonts w:hint="eastAsia"/>
          <w:sz w:val="28"/>
        </w:rPr>
        <w:t>填报</w:t>
      </w:r>
      <w:r>
        <w:rPr>
          <w:sz w:val="28"/>
        </w:rPr>
        <w:t>志愿</w:t>
      </w:r>
      <w:r>
        <w:rPr>
          <w:rFonts w:hint="eastAsia"/>
          <w:sz w:val="28"/>
        </w:rPr>
        <w:t>平台</w:t>
      </w:r>
      <w:r>
        <w:rPr>
          <w:sz w:val="28"/>
        </w:rPr>
        <w:t>云端</w:t>
      </w:r>
      <w:r>
        <w:rPr>
          <w:rFonts w:hint="eastAsia"/>
          <w:sz w:val="28"/>
        </w:rPr>
        <w:t>建设，其主要功能概述如下：</w:t>
      </w:r>
    </w:p>
    <w:p w14:paraId="680B0E4A">
      <w:pPr>
        <w:pStyle w:val="34"/>
        <w:numPr>
          <w:ilvl w:val="0"/>
          <w:numId w:val="2"/>
        </w:numPr>
        <w:spacing w:line="240" w:lineRule="auto"/>
        <w:rPr>
          <w:b/>
          <w:sz w:val="28"/>
        </w:rPr>
      </w:pPr>
      <w:r>
        <w:rPr>
          <w:rFonts w:hint="eastAsia"/>
          <w:b/>
          <w:sz w:val="28"/>
        </w:rPr>
        <w:t>系统管理模块</w:t>
      </w:r>
    </w:p>
    <w:p w14:paraId="3C3B1A72">
      <w:pPr>
        <w:pStyle w:val="34"/>
        <w:spacing w:line="240" w:lineRule="auto"/>
        <w:rPr>
          <w:sz w:val="28"/>
        </w:rPr>
      </w:pPr>
      <w:r>
        <w:rPr>
          <w:rFonts w:hint="eastAsia"/>
          <w:sz w:val="28"/>
        </w:rPr>
        <w:t>权限管理：系统权限可以定义不同用户在该系统中可以执行的操作权限，实现规定权限内的各种功能。系统权限通过角色体现（即定义角色）把程序模块以及模块下的功能分配给角色，再把角色分配给用户。用户拥有这些角色后，也就拥有了执行程序和功能的权限。角色可以添加或删除，功能模块可以重复分配。角色分配分级管理、加密隐藏，较高级管理员可以全面管理其权限内的所有角色。定义用户属地管理范围。支持用户IP地址绑定。</w:t>
      </w:r>
    </w:p>
    <w:p w14:paraId="61A35EAB">
      <w:pPr>
        <w:pStyle w:val="34"/>
        <w:spacing w:line="240" w:lineRule="auto"/>
        <w:rPr>
          <w:b/>
          <w:sz w:val="28"/>
        </w:rPr>
      </w:pPr>
      <w:r>
        <w:rPr>
          <w:rFonts w:hint="eastAsia"/>
          <w:sz w:val="28"/>
        </w:rPr>
        <w:t>用户管理：它是对</w:t>
      </w:r>
      <w:bookmarkStart w:id="2" w:name="OLE_LINK43"/>
      <w:bookmarkStart w:id="3" w:name="OLE_LINK42"/>
      <w:bookmarkStart w:id="4" w:name="OLE_LINK44"/>
      <w:r>
        <w:rPr>
          <w:rFonts w:hint="eastAsia"/>
          <w:sz w:val="28"/>
        </w:rPr>
        <w:t>报名点</w:t>
      </w:r>
      <w:bookmarkEnd w:id="2"/>
      <w:bookmarkEnd w:id="3"/>
      <w:bookmarkEnd w:id="4"/>
      <w:r>
        <w:rPr>
          <w:rFonts w:hint="eastAsia"/>
          <w:sz w:val="28"/>
        </w:rPr>
        <w:t>和用户的管理，包括报名点资料、用户资料、用户拥有的角色、用户管理范围等。既可以把不同的角色分配给用户，也可以关闭或开放该用户，设定用户权限，防止越权。可增加或删除用户，严格设置管理范围。</w:t>
      </w:r>
    </w:p>
    <w:p w14:paraId="3BA48165">
      <w:pPr>
        <w:pStyle w:val="34"/>
        <w:spacing w:line="240" w:lineRule="auto"/>
        <w:rPr>
          <w:sz w:val="28"/>
        </w:rPr>
      </w:pPr>
      <w:r>
        <w:rPr>
          <w:rFonts w:hint="eastAsia"/>
          <w:sz w:val="28"/>
        </w:rPr>
        <w:t>系统参数设置：主要是针对系统的一些基本参数的设置与修改，以及对系统参数的基本配置。</w:t>
      </w:r>
    </w:p>
    <w:p w14:paraId="4765EBC9">
      <w:pPr>
        <w:pStyle w:val="34"/>
        <w:numPr>
          <w:ilvl w:val="0"/>
          <w:numId w:val="2"/>
        </w:numPr>
        <w:spacing w:line="240" w:lineRule="auto"/>
        <w:rPr>
          <w:b/>
          <w:sz w:val="28"/>
        </w:rPr>
      </w:pPr>
      <w:r>
        <w:rPr>
          <w:rFonts w:hint="eastAsia"/>
          <w:b/>
          <w:sz w:val="28"/>
        </w:rPr>
        <w:t>数据管理模块</w:t>
      </w:r>
    </w:p>
    <w:p w14:paraId="16745A1C">
      <w:pPr>
        <w:pStyle w:val="36"/>
        <w:numPr>
          <w:ilvl w:val="1"/>
          <w:numId w:val="3"/>
        </w:numPr>
        <w:ind w:firstLineChars="0"/>
        <w:rPr>
          <w:rFonts w:ascii="宋体" w:hAnsi="宋体"/>
          <w:sz w:val="28"/>
          <w:szCs w:val="26"/>
        </w:rPr>
      </w:pPr>
      <w:r>
        <w:rPr>
          <w:rFonts w:hint="eastAsia" w:ascii="宋体" w:hAnsi="宋体"/>
          <w:sz w:val="28"/>
          <w:szCs w:val="26"/>
        </w:rPr>
        <w:t>静态数据及代码维护：支持导入和新增及维护系统静态数据及代码表。</w:t>
      </w:r>
    </w:p>
    <w:p w14:paraId="0942DA0A">
      <w:pPr>
        <w:pStyle w:val="36"/>
        <w:numPr>
          <w:ilvl w:val="1"/>
          <w:numId w:val="3"/>
        </w:numPr>
        <w:ind w:firstLineChars="0"/>
        <w:rPr>
          <w:rFonts w:ascii="宋体" w:hAnsi="宋体"/>
          <w:sz w:val="28"/>
          <w:szCs w:val="26"/>
        </w:rPr>
      </w:pPr>
      <w:r>
        <w:rPr>
          <w:rFonts w:hint="eastAsia" w:ascii="宋体" w:hAnsi="宋体"/>
          <w:sz w:val="28"/>
          <w:szCs w:val="26"/>
        </w:rPr>
        <w:t>登录管理：提供对所有登录系统的用户进行管理的功能。支持查看各种状态的用户的登录时间，提供初始化用户密码功能。</w:t>
      </w:r>
    </w:p>
    <w:p w14:paraId="630310F4">
      <w:pPr>
        <w:pStyle w:val="36"/>
        <w:numPr>
          <w:ilvl w:val="1"/>
          <w:numId w:val="3"/>
        </w:numPr>
        <w:ind w:firstLineChars="0"/>
        <w:rPr>
          <w:rFonts w:ascii="宋体" w:hAnsi="宋体"/>
          <w:sz w:val="28"/>
          <w:szCs w:val="26"/>
        </w:rPr>
      </w:pPr>
      <w:r>
        <w:rPr>
          <w:rFonts w:hint="eastAsia" w:ascii="宋体" w:hAnsi="宋体"/>
          <w:sz w:val="28"/>
          <w:szCs w:val="26"/>
        </w:rPr>
        <w:t>系统参数设置：设定系统数据库密码，设定填报批次及各批次填报系统起止时间和系统开关功能。</w:t>
      </w:r>
    </w:p>
    <w:p w14:paraId="516EAE10">
      <w:pPr>
        <w:pStyle w:val="36"/>
        <w:numPr>
          <w:ilvl w:val="1"/>
          <w:numId w:val="3"/>
        </w:numPr>
        <w:ind w:firstLineChars="0"/>
        <w:rPr>
          <w:rFonts w:ascii="宋体" w:hAnsi="宋体"/>
          <w:sz w:val="28"/>
          <w:szCs w:val="26"/>
        </w:rPr>
      </w:pPr>
      <w:r>
        <w:rPr>
          <w:rFonts w:hint="eastAsia" w:ascii="宋体" w:hAnsi="宋体"/>
          <w:sz w:val="28"/>
          <w:szCs w:val="26"/>
        </w:rPr>
        <w:t>密码修改：修改本人密码功能。</w:t>
      </w:r>
    </w:p>
    <w:p w14:paraId="2216DF2A">
      <w:pPr>
        <w:pStyle w:val="36"/>
        <w:numPr>
          <w:ilvl w:val="1"/>
          <w:numId w:val="3"/>
        </w:numPr>
        <w:ind w:firstLineChars="0"/>
        <w:rPr>
          <w:rFonts w:ascii="宋体" w:hAnsi="宋体"/>
          <w:sz w:val="28"/>
          <w:szCs w:val="26"/>
        </w:rPr>
      </w:pPr>
      <w:r>
        <w:rPr>
          <w:rFonts w:hint="eastAsia" w:ascii="宋体" w:hAnsi="宋体"/>
          <w:sz w:val="28"/>
          <w:szCs w:val="26"/>
        </w:rPr>
        <w:t>考生基本信息维护（报名库、成绩库）功能。</w:t>
      </w:r>
    </w:p>
    <w:p w14:paraId="2F4A0035">
      <w:pPr>
        <w:pStyle w:val="36"/>
        <w:numPr>
          <w:ilvl w:val="1"/>
          <w:numId w:val="3"/>
        </w:numPr>
        <w:ind w:firstLineChars="0"/>
        <w:rPr>
          <w:rFonts w:ascii="宋体" w:hAnsi="宋体"/>
          <w:sz w:val="28"/>
          <w:szCs w:val="26"/>
        </w:rPr>
      </w:pPr>
      <w:r>
        <w:rPr>
          <w:rFonts w:hint="eastAsia" w:ascii="宋体" w:hAnsi="宋体"/>
          <w:sz w:val="28"/>
          <w:szCs w:val="26"/>
        </w:rPr>
        <w:t>数据统计——为管理员提供各招生</w:t>
      </w:r>
      <w:r>
        <w:rPr>
          <w:rFonts w:ascii="宋体" w:hAnsi="宋体"/>
          <w:sz w:val="28"/>
          <w:szCs w:val="26"/>
        </w:rPr>
        <w:t>学校</w:t>
      </w:r>
      <w:r>
        <w:rPr>
          <w:rFonts w:hint="eastAsia" w:ascii="宋体" w:hAnsi="宋体"/>
          <w:sz w:val="28"/>
          <w:szCs w:val="26"/>
        </w:rPr>
        <w:t>录取进度查询、录取进度统计、志愿人数统计、学校录取统计、数据统计、县区主管</w:t>
      </w:r>
      <w:r>
        <w:rPr>
          <w:rFonts w:ascii="宋体" w:hAnsi="宋体"/>
          <w:sz w:val="28"/>
          <w:szCs w:val="26"/>
        </w:rPr>
        <w:t>学校各区域</w:t>
      </w:r>
      <w:r>
        <w:rPr>
          <w:rFonts w:hint="eastAsia" w:ascii="宋体" w:hAnsi="宋体"/>
          <w:sz w:val="28"/>
          <w:szCs w:val="26"/>
        </w:rPr>
        <w:t>录取进度统计、县区主管学校各区域录取统计进度、县区主管学校录取考生情况统计等功能。</w:t>
      </w:r>
    </w:p>
    <w:p w14:paraId="38A99D8D">
      <w:pPr>
        <w:pStyle w:val="36"/>
        <w:numPr>
          <w:ilvl w:val="1"/>
          <w:numId w:val="3"/>
        </w:numPr>
        <w:ind w:firstLineChars="0"/>
        <w:rPr>
          <w:rFonts w:ascii="宋体" w:hAnsi="宋体"/>
          <w:sz w:val="28"/>
          <w:szCs w:val="26"/>
        </w:rPr>
      </w:pPr>
      <w:r>
        <w:rPr>
          <w:rFonts w:hint="eastAsia" w:ascii="宋体" w:hAnsi="宋体"/>
          <w:sz w:val="28"/>
          <w:szCs w:val="26"/>
        </w:rPr>
        <w:t>数据交互——所涉及报名、计划、成绩、志愿、录取等主要业务数据，均要求提供数据(</w:t>
      </w:r>
      <w:r>
        <w:rPr>
          <w:rFonts w:ascii="宋体" w:hAnsi="宋体"/>
          <w:sz w:val="28"/>
          <w:szCs w:val="26"/>
        </w:rPr>
        <w:t>dbf</w:t>
      </w:r>
      <w:r>
        <w:rPr>
          <w:rFonts w:hint="eastAsia" w:ascii="宋体" w:hAnsi="宋体"/>
          <w:sz w:val="28"/>
          <w:szCs w:val="26"/>
        </w:rPr>
        <w:t>或Excel表等格式)导出、下载与打印功能。</w:t>
      </w:r>
    </w:p>
    <w:p w14:paraId="1161BBD9">
      <w:pPr>
        <w:pStyle w:val="36"/>
        <w:numPr>
          <w:ilvl w:val="1"/>
          <w:numId w:val="3"/>
        </w:numPr>
        <w:ind w:firstLineChars="0"/>
        <w:rPr>
          <w:rFonts w:ascii="宋体" w:hAnsi="宋体"/>
          <w:sz w:val="28"/>
          <w:szCs w:val="26"/>
        </w:rPr>
      </w:pPr>
      <w:r>
        <w:rPr>
          <w:rFonts w:hint="eastAsia" w:ascii="宋体" w:hAnsi="宋体"/>
          <w:sz w:val="28"/>
          <w:szCs w:val="26"/>
        </w:rPr>
        <w:t>日志管理——系统管理及各子系统中关键操作都要求记录日志，并提供查询功能。</w:t>
      </w:r>
    </w:p>
    <w:p w14:paraId="24FB1D40">
      <w:pPr>
        <w:pStyle w:val="36"/>
        <w:numPr>
          <w:ilvl w:val="1"/>
          <w:numId w:val="3"/>
        </w:numPr>
        <w:ind w:firstLineChars="0"/>
        <w:rPr>
          <w:rFonts w:ascii="宋体" w:hAnsi="宋体"/>
          <w:sz w:val="28"/>
          <w:szCs w:val="26"/>
        </w:rPr>
      </w:pPr>
      <w:r>
        <w:rPr>
          <w:rFonts w:hint="eastAsia" w:ascii="宋体" w:hAnsi="宋体"/>
          <w:sz w:val="28"/>
          <w:szCs w:val="26"/>
        </w:rPr>
        <w:t>数据备份及恢复</w:t>
      </w:r>
    </w:p>
    <w:p w14:paraId="38C38316">
      <w:pPr>
        <w:pStyle w:val="36"/>
        <w:ind w:left="845" w:firstLine="0" w:firstLineChars="0"/>
        <w:rPr>
          <w:rFonts w:ascii="宋体" w:hAnsi="宋体"/>
          <w:sz w:val="28"/>
          <w:szCs w:val="26"/>
        </w:rPr>
      </w:pPr>
      <w:r>
        <w:rPr>
          <w:rFonts w:hint="eastAsia" w:ascii="宋体" w:hAnsi="宋体"/>
          <w:sz w:val="28"/>
          <w:szCs w:val="26"/>
        </w:rPr>
        <w:t>能实时</w:t>
      </w:r>
      <w:r>
        <w:rPr>
          <w:rFonts w:ascii="宋体" w:hAnsi="宋体"/>
          <w:sz w:val="28"/>
          <w:szCs w:val="26"/>
        </w:rPr>
        <w:t>备份数据及恢复。</w:t>
      </w:r>
    </w:p>
    <w:p w14:paraId="31B60649">
      <w:pPr>
        <w:pStyle w:val="34"/>
        <w:numPr>
          <w:ilvl w:val="0"/>
          <w:numId w:val="2"/>
        </w:numPr>
        <w:spacing w:line="240" w:lineRule="auto"/>
        <w:rPr>
          <w:b/>
          <w:sz w:val="28"/>
        </w:rPr>
      </w:pPr>
      <w:bookmarkStart w:id="5" w:name="OLE_LINK64"/>
      <w:bookmarkStart w:id="6" w:name="OLE_LINK65"/>
      <w:r>
        <w:rPr>
          <w:rFonts w:hint="eastAsia"/>
          <w:b/>
          <w:sz w:val="28"/>
        </w:rPr>
        <w:t>网上填报志愿平台（含征集）</w:t>
      </w:r>
    </w:p>
    <w:bookmarkEnd w:id="5"/>
    <w:bookmarkEnd w:id="6"/>
    <w:p w14:paraId="0E052300">
      <w:pPr>
        <w:pStyle w:val="36"/>
        <w:numPr>
          <w:ilvl w:val="0"/>
          <w:numId w:val="4"/>
        </w:numPr>
        <w:ind w:firstLineChars="0"/>
        <w:rPr>
          <w:rFonts w:ascii="宋体" w:hAnsi="宋体"/>
          <w:sz w:val="28"/>
          <w:szCs w:val="26"/>
        </w:rPr>
      </w:pPr>
      <w:r>
        <w:rPr>
          <w:rFonts w:hint="eastAsia" w:ascii="宋体" w:hAnsi="宋体"/>
          <w:sz w:val="28"/>
          <w:szCs w:val="26"/>
        </w:rPr>
        <w:t>志愿填报条件管理</w:t>
      </w:r>
      <w:bookmarkStart w:id="7" w:name="OLE_LINK61"/>
      <w:bookmarkStart w:id="8" w:name="OLE_LINK60"/>
      <w:r>
        <w:rPr>
          <w:rFonts w:hint="eastAsia" w:ascii="宋体" w:hAnsi="宋体"/>
          <w:sz w:val="28"/>
          <w:szCs w:val="26"/>
        </w:rPr>
        <w:t>：设定各填报批次允许报考学校范围、志愿数、专业数，是否服从调剂等。实现志愿设置，考生志愿采集，考生志愿校对、修改等功能，包括填报学校代码、批次、是否服从调剂等。</w:t>
      </w:r>
    </w:p>
    <w:bookmarkEnd w:id="7"/>
    <w:bookmarkEnd w:id="8"/>
    <w:p w14:paraId="214B83DE">
      <w:pPr>
        <w:pStyle w:val="36"/>
        <w:numPr>
          <w:ilvl w:val="0"/>
          <w:numId w:val="4"/>
        </w:numPr>
        <w:ind w:firstLineChars="0"/>
        <w:rPr>
          <w:rFonts w:ascii="宋体" w:hAnsi="宋体"/>
          <w:sz w:val="28"/>
          <w:szCs w:val="26"/>
        </w:rPr>
      </w:pPr>
      <w:bookmarkStart w:id="9" w:name="OLE_LINK18"/>
      <w:bookmarkStart w:id="10" w:name="OLE_LINK19"/>
      <w:bookmarkStart w:id="11" w:name="OLE_LINK17"/>
      <w:r>
        <w:rPr>
          <w:rFonts w:hint="eastAsia" w:ascii="宋体" w:hAnsi="宋体"/>
          <w:sz w:val="28"/>
          <w:szCs w:val="26"/>
        </w:rPr>
        <w:t>志愿填报数据导入</w:t>
      </w:r>
      <w:bookmarkEnd w:id="9"/>
      <w:bookmarkEnd w:id="10"/>
      <w:bookmarkEnd w:id="11"/>
      <w:r>
        <w:rPr>
          <w:rFonts w:hint="eastAsia" w:ascii="宋体" w:hAnsi="宋体"/>
          <w:sz w:val="28"/>
          <w:szCs w:val="26"/>
        </w:rPr>
        <w:t>：提供按规定格式导入填报志愿所需的静态数据及报名、考务数据{格式待定，如考生中考成绩及等级、特长生专业课成绩（市级用户导入）、不符合定向指标考生数据（县区级用户导入）等</w:t>
      </w:r>
      <w:r>
        <w:rPr>
          <w:rFonts w:ascii="宋体" w:hAnsi="宋体"/>
          <w:sz w:val="28"/>
          <w:szCs w:val="26"/>
        </w:rPr>
        <w:t>}</w:t>
      </w:r>
      <w:r>
        <w:rPr>
          <w:rFonts w:hint="eastAsia" w:ascii="宋体" w:hAnsi="宋体"/>
          <w:sz w:val="28"/>
          <w:szCs w:val="26"/>
        </w:rPr>
        <w:t>。</w:t>
      </w:r>
    </w:p>
    <w:p w14:paraId="3FA69691">
      <w:pPr>
        <w:pStyle w:val="36"/>
        <w:numPr>
          <w:ilvl w:val="0"/>
          <w:numId w:val="4"/>
        </w:numPr>
        <w:ind w:firstLineChars="0"/>
        <w:rPr>
          <w:rFonts w:ascii="宋体" w:hAnsi="宋体"/>
          <w:sz w:val="28"/>
          <w:szCs w:val="26"/>
        </w:rPr>
      </w:pPr>
      <w:r>
        <w:rPr>
          <w:rFonts w:hint="eastAsia" w:ascii="宋体" w:hAnsi="宋体"/>
          <w:sz w:val="28"/>
          <w:szCs w:val="26"/>
        </w:rPr>
        <w:t>合法性校验：系统要求在填报志愿前，管理员可以自定义志愿批次、志愿个数、专业个数。</w:t>
      </w:r>
    </w:p>
    <w:p w14:paraId="36676770">
      <w:pPr>
        <w:pStyle w:val="36"/>
        <w:numPr>
          <w:ilvl w:val="0"/>
          <w:numId w:val="4"/>
        </w:numPr>
        <w:ind w:firstLineChars="0"/>
        <w:rPr>
          <w:rFonts w:ascii="宋体" w:hAnsi="宋体"/>
          <w:sz w:val="28"/>
          <w:szCs w:val="26"/>
        </w:rPr>
      </w:pPr>
      <w:r>
        <w:rPr>
          <w:rFonts w:hint="eastAsia" w:ascii="宋体" w:hAnsi="宋体"/>
          <w:sz w:val="28"/>
          <w:szCs w:val="26"/>
        </w:rPr>
        <w:t>系统要求在填报志愿时，填报界面根据地市管理员的设置自动生成批次、志愿个人 、志愿名称，学生输入学校代码，自动显示学校名称。每一</w:t>
      </w:r>
      <w:r>
        <w:rPr>
          <w:rFonts w:ascii="宋体" w:hAnsi="宋体"/>
          <w:sz w:val="28"/>
          <w:szCs w:val="26"/>
        </w:rPr>
        <w:t>批次只能</w:t>
      </w:r>
      <w:r>
        <w:rPr>
          <w:rFonts w:hint="eastAsia" w:ascii="宋体" w:hAnsi="宋体"/>
          <w:sz w:val="28"/>
          <w:szCs w:val="26"/>
        </w:rPr>
        <w:t>填报</w:t>
      </w:r>
      <w:r>
        <w:rPr>
          <w:rFonts w:ascii="宋体" w:hAnsi="宋体"/>
          <w:sz w:val="28"/>
          <w:szCs w:val="26"/>
        </w:rPr>
        <w:t>不同招生学校填报志愿。</w:t>
      </w:r>
    </w:p>
    <w:p w14:paraId="0CBEFF51">
      <w:pPr>
        <w:pStyle w:val="36"/>
        <w:numPr>
          <w:ilvl w:val="0"/>
          <w:numId w:val="4"/>
        </w:numPr>
        <w:ind w:firstLineChars="0"/>
        <w:rPr>
          <w:rFonts w:ascii="宋体" w:hAnsi="宋体"/>
          <w:sz w:val="28"/>
          <w:szCs w:val="26"/>
        </w:rPr>
      </w:pPr>
      <w:r>
        <w:rPr>
          <w:rFonts w:hint="eastAsia" w:ascii="宋体" w:hAnsi="宋体"/>
          <w:sz w:val="28"/>
          <w:szCs w:val="26"/>
        </w:rPr>
        <w:t>支持考生填报的志愿信息在线合法性验证。依据招生计划、填报条件限制等对考生填报信息进行合法性验证。不同批次的志愿不能错填。</w:t>
      </w:r>
    </w:p>
    <w:p w14:paraId="4E332CFD">
      <w:pPr>
        <w:pStyle w:val="36"/>
        <w:numPr>
          <w:ilvl w:val="0"/>
          <w:numId w:val="4"/>
        </w:numPr>
        <w:ind w:firstLineChars="0"/>
        <w:rPr>
          <w:rFonts w:ascii="宋体" w:hAnsi="宋体"/>
          <w:sz w:val="28"/>
          <w:szCs w:val="26"/>
        </w:rPr>
      </w:pPr>
      <w:r>
        <w:rPr>
          <w:rFonts w:hint="eastAsia" w:ascii="宋体" w:hAnsi="宋体"/>
          <w:sz w:val="28"/>
          <w:szCs w:val="26"/>
        </w:rPr>
        <w:t>填报信息查询：系统要求能够灵活控制填报日期和时限,具体可控制到填报日期的每天几时至几时范围内可填报。</w:t>
      </w:r>
    </w:p>
    <w:p w14:paraId="627EB0B3">
      <w:pPr>
        <w:pStyle w:val="36"/>
        <w:numPr>
          <w:ilvl w:val="0"/>
          <w:numId w:val="4"/>
        </w:numPr>
        <w:ind w:firstLineChars="0"/>
        <w:rPr>
          <w:rFonts w:ascii="宋体" w:hAnsi="宋体"/>
          <w:sz w:val="28"/>
          <w:szCs w:val="26"/>
        </w:rPr>
      </w:pPr>
      <w:r>
        <w:rPr>
          <w:rFonts w:hint="eastAsia" w:ascii="宋体" w:hAnsi="宋体"/>
          <w:sz w:val="28"/>
          <w:szCs w:val="26"/>
        </w:rPr>
        <w:t>确认表打印：系统要求在完成填报后，学校管理员可以打印志愿表供考生签字确认；一旦打印，不能再次修改；考生发现志愿信息有误，在规定填报时间内能够由上级管理员修改退回后，考生在通过自己的密码账号修改志愿后再次打印、签字确认。并提供考生个人志愿信息下载留存功能。</w:t>
      </w:r>
    </w:p>
    <w:p w14:paraId="32C10507">
      <w:pPr>
        <w:pStyle w:val="36"/>
        <w:numPr>
          <w:ilvl w:val="0"/>
          <w:numId w:val="4"/>
        </w:numPr>
        <w:ind w:firstLineChars="0"/>
        <w:rPr>
          <w:rFonts w:ascii="宋体" w:hAnsi="宋体"/>
          <w:sz w:val="28"/>
          <w:szCs w:val="26"/>
        </w:rPr>
      </w:pPr>
      <w:r>
        <w:rPr>
          <w:rFonts w:hint="eastAsia" w:ascii="宋体" w:hAnsi="宋体"/>
          <w:sz w:val="28"/>
          <w:szCs w:val="26"/>
        </w:rPr>
        <w:t>进度查询：系统要求</w:t>
      </w:r>
      <w:bookmarkStart w:id="12" w:name="OLE_LINK55"/>
      <w:bookmarkStart w:id="13" w:name="OLE_LINK57"/>
      <w:bookmarkStart w:id="14" w:name="OLE_LINK56"/>
      <w:r>
        <w:rPr>
          <w:rFonts w:hint="eastAsia" w:ascii="宋体" w:hAnsi="宋体"/>
          <w:sz w:val="28"/>
          <w:szCs w:val="26"/>
        </w:rPr>
        <w:t>县区</w:t>
      </w:r>
      <w:bookmarkEnd w:id="12"/>
      <w:bookmarkEnd w:id="13"/>
      <w:bookmarkEnd w:id="14"/>
      <w:r>
        <w:rPr>
          <w:rFonts w:hint="eastAsia" w:ascii="宋体" w:hAnsi="宋体"/>
          <w:sz w:val="28"/>
          <w:szCs w:val="26"/>
        </w:rPr>
        <w:t>、学校管理员可以查询志愿填报进度，可以查询已填报学生的名单和未填报志愿的名单。</w:t>
      </w:r>
    </w:p>
    <w:p w14:paraId="44580A31">
      <w:pPr>
        <w:pStyle w:val="36"/>
        <w:numPr>
          <w:ilvl w:val="0"/>
          <w:numId w:val="4"/>
        </w:numPr>
        <w:ind w:firstLineChars="0"/>
        <w:rPr>
          <w:rFonts w:ascii="宋体" w:hAnsi="宋体"/>
          <w:sz w:val="28"/>
          <w:szCs w:val="26"/>
        </w:rPr>
      </w:pPr>
      <w:r>
        <w:rPr>
          <w:rFonts w:hint="eastAsia" w:ascii="宋体" w:hAnsi="宋体"/>
          <w:sz w:val="28"/>
          <w:szCs w:val="26"/>
        </w:rPr>
        <w:t>为保证志愿填报无干扰，给学生充分的自主权，系统要求志愿单个</w:t>
      </w:r>
      <w:r>
        <w:rPr>
          <w:rFonts w:ascii="宋体" w:hAnsi="宋体"/>
          <w:sz w:val="28"/>
          <w:szCs w:val="26"/>
        </w:rPr>
        <w:t>考生</w:t>
      </w:r>
      <w:r>
        <w:rPr>
          <w:rFonts w:hint="eastAsia" w:ascii="宋体" w:hAnsi="宋体"/>
          <w:sz w:val="28"/>
          <w:szCs w:val="26"/>
        </w:rPr>
        <w:t>明细查询功能只能开放给县区级、学校用户无权查询单个考生填报志愿的明细。</w:t>
      </w:r>
    </w:p>
    <w:p w14:paraId="0DCA77E2">
      <w:pPr>
        <w:pStyle w:val="36"/>
        <w:numPr>
          <w:ilvl w:val="0"/>
          <w:numId w:val="4"/>
        </w:numPr>
        <w:ind w:firstLineChars="0"/>
        <w:rPr>
          <w:rFonts w:ascii="宋体" w:hAnsi="宋体"/>
          <w:sz w:val="28"/>
          <w:szCs w:val="26"/>
        </w:rPr>
      </w:pPr>
      <w:r>
        <w:rPr>
          <w:rFonts w:hint="eastAsia" w:ascii="宋体" w:hAnsi="宋体"/>
          <w:sz w:val="28"/>
          <w:szCs w:val="26"/>
        </w:rPr>
        <w:t>支持地址绑定或短信</w:t>
      </w:r>
      <w:r>
        <w:rPr>
          <w:rFonts w:ascii="宋体" w:hAnsi="宋体"/>
          <w:sz w:val="28"/>
          <w:szCs w:val="26"/>
        </w:rPr>
        <w:t>填报</w:t>
      </w:r>
      <w:r>
        <w:rPr>
          <w:rFonts w:hint="eastAsia" w:ascii="宋体" w:hAnsi="宋体"/>
          <w:sz w:val="28"/>
          <w:szCs w:val="26"/>
        </w:rPr>
        <w:t>:支持报名点IP地址的设置、绑定功能。市级用户拥有IP地址设置、绑定、修改功能。市级用户给县区用户绑定IP后，县区用户才能拥有报名点IP地址设置、绑定功能，一但设定，不能修改。支持</w:t>
      </w:r>
      <w:r>
        <w:rPr>
          <w:rFonts w:ascii="宋体" w:hAnsi="宋体"/>
          <w:sz w:val="28"/>
          <w:szCs w:val="26"/>
        </w:rPr>
        <w:t>考生凭手机号获得短信的方式</w:t>
      </w:r>
      <w:r>
        <w:rPr>
          <w:rFonts w:hint="eastAsia" w:ascii="宋体" w:hAnsi="宋体"/>
          <w:sz w:val="28"/>
          <w:szCs w:val="26"/>
        </w:rPr>
        <w:t>填报</w:t>
      </w:r>
      <w:r>
        <w:rPr>
          <w:rFonts w:ascii="宋体" w:hAnsi="宋体"/>
          <w:sz w:val="28"/>
          <w:szCs w:val="26"/>
        </w:rPr>
        <w:t>、确认志愿。</w:t>
      </w:r>
      <w:r>
        <w:rPr>
          <w:rFonts w:hint="eastAsia" w:ascii="宋体" w:hAnsi="宋体"/>
          <w:sz w:val="28"/>
          <w:szCs w:val="26"/>
        </w:rPr>
        <w:t>平台建设</w:t>
      </w:r>
      <w:r>
        <w:rPr>
          <w:rFonts w:ascii="宋体" w:hAnsi="宋体"/>
          <w:sz w:val="28"/>
          <w:szCs w:val="26"/>
        </w:rPr>
        <w:t>包含志愿填报期间</w:t>
      </w:r>
      <w:r>
        <w:rPr>
          <w:rFonts w:hint="eastAsia" w:ascii="宋体" w:hAnsi="宋体"/>
          <w:sz w:val="28"/>
          <w:szCs w:val="26"/>
        </w:rPr>
        <w:t>管理员</w:t>
      </w:r>
      <w:r>
        <w:rPr>
          <w:rFonts w:ascii="宋体" w:hAnsi="宋体"/>
          <w:sz w:val="28"/>
          <w:szCs w:val="26"/>
        </w:rPr>
        <w:t>账号、考生</w:t>
      </w:r>
      <w:r>
        <w:rPr>
          <w:rFonts w:hint="eastAsia" w:ascii="宋体" w:hAnsi="宋体"/>
          <w:sz w:val="28"/>
          <w:szCs w:val="26"/>
        </w:rPr>
        <w:t>填报</w:t>
      </w:r>
      <w:r>
        <w:rPr>
          <w:rFonts w:ascii="宋体" w:hAnsi="宋体"/>
          <w:sz w:val="28"/>
          <w:szCs w:val="26"/>
        </w:rPr>
        <w:t>、确认志愿等所产生的短信费用</w:t>
      </w:r>
      <w:r>
        <w:rPr>
          <w:rFonts w:hint="eastAsia" w:ascii="宋体" w:hAnsi="宋体"/>
          <w:sz w:val="28"/>
          <w:szCs w:val="26"/>
        </w:rPr>
        <w:t>。</w:t>
      </w:r>
    </w:p>
    <w:p w14:paraId="045B2911">
      <w:pPr>
        <w:pStyle w:val="36"/>
        <w:numPr>
          <w:ilvl w:val="0"/>
          <w:numId w:val="4"/>
        </w:numPr>
        <w:ind w:firstLineChars="0"/>
        <w:rPr>
          <w:rFonts w:ascii="宋体" w:hAnsi="宋体"/>
          <w:sz w:val="28"/>
          <w:szCs w:val="26"/>
        </w:rPr>
      </w:pPr>
      <w:r>
        <w:rPr>
          <w:rFonts w:hint="eastAsia" w:ascii="宋体" w:hAnsi="宋体"/>
          <w:sz w:val="28"/>
          <w:szCs w:val="26"/>
        </w:rPr>
        <w:t>数据导出:志愿填报期间，所有账户禁止查看</w:t>
      </w:r>
      <w:r>
        <w:rPr>
          <w:rFonts w:ascii="宋体" w:hAnsi="宋体"/>
          <w:sz w:val="28"/>
          <w:szCs w:val="26"/>
        </w:rPr>
        <w:t>和</w:t>
      </w:r>
      <w:r>
        <w:rPr>
          <w:rFonts w:hint="eastAsia" w:ascii="宋体" w:hAnsi="宋体"/>
          <w:sz w:val="28"/>
          <w:szCs w:val="26"/>
        </w:rPr>
        <w:t>导出任何汇总数据。志愿填报结束后，只有市级账户能导出志愿。</w:t>
      </w:r>
    </w:p>
    <w:p w14:paraId="778BE5E8">
      <w:pPr>
        <w:pStyle w:val="36"/>
        <w:numPr>
          <w:ilvl w:val="0"/>
          <w:numId w:val="4"/>
        </w:numPr>
        <w:ind w:firstLineChars="0"/>
        <w:rPr>
          <w:rFonts w:ascii="宋体" w:hAnsi="宋体"/>
          <w:sz w:val="28"/>
          <w:szCs w:val="26"/>
        </w:rPr>
      </w:pPr>
      <w:r>
        <w:rPr>
          <w:rFonts w:ascii="宋体" w:hAnsi="宋体"/>
          <w:sz w:val="28"/>
          <w:szCs w:val="26"/>
        </w:rPr>
        <w:t>其他要求：网上</w:t>
      </w:r>
      <w:r>
        <w:rPr>
          <w:rFonts w:hint="eastAsia" w:ascii="宋体" w:hAnsi="宋体"/>
          <w:sz w:val="28"/>
          <w:szCs w:val="26"/>
        </w:rPr>
        <w:t>填报志愿</w:t>
      </w:r>
      <w:r>
        <w:rPr>
          <w:rFonts w:ascii="宋体" w:hAnsi="宋体"/>
          <w:sz w:val="28"/>
          <w:szCs w:val="26"/>
        </w:rPr>
        <w:t>系统必须</w:t>
      </w:r>
      <w:r>
        <w:rPr>
          <w:rFonts w:hint="eastAsia" w:ascii="宋体" w:hAnsi="宋体"/>
          <w:sz w:val="28"/>
          <w:szCs w:val="26"/>
        </w:rPr>
        <w:t>能</w:t>
      </w:r>
      <w:r>
        <w:rPr>
          <w:rFonts w:ascii="宋体" w:hAnsi="宋体"/>
          <w:sz w:val="28"/>
          <w:szCs w:val="26"/>
        </w:rPr>
        <w:t>与安徽省中考报名系统进行数据对接，导入省中考报名系统学生信息，生成考生账号。</w:t>
      </w:r>
    </w:p>
    <w:p w14:paraId="5E55B53D">
      <w:pPr>
        <w:pStyle w:val="34"/>
        <w:numPr>
          <w:ilvl w:val="0"/>
          <w:numId w:val="2"/>
        </w:numPr>
        <w:spacing w:line="240" w:lineRule="auto"/>
        <w:rPr>
          <w:b/>
          <w:sz w:val="28"/>
        </w:rPr>
      </w:pPr>
      <w:r>
        <w:rPr>
          <w:rFonts w:hint="eastAsia"/>
          <w:b/>
          <w:sz w:val="28"/>
        </w:rPr>
        <w:t>网上录取平台</w:t>
      </w:r>
    </w:p>
    <w:p w14:paraId="320FFC81">
      <w:pPr>
        <w:pStyle w:val="36"/>
        <w:numPr>
          <w:ilvl w:val="0"/>
          <w:numId w:val="5"/>
        </w:numPr>
        <w:ind w:firstLineChars="0"/>
        <w:rPr>
          <w:rFonts w:ascii="宋体" w:hAnsi="宋体"/>
          <w:sz w:val="28"/>
          <w:szCs w:val="26"/>
        </w:rPr>
      </w:pPr>
      <w:r>
        <w:rPr>
          <w:rFonts w:hint="eastAsia" w:ascii="宋体" w:hAnsi="宋体"/>
          <w:sz w:val="28"/>
          <w:szCs w:val="26"/>
        </w:rPr>
        <w:t>投档控制:为管理员提供设置区域分数线、设置志愿批次、设置投档模式、设置学校所属批次、设置分数线、设置学校投档特殊条件限制、设置考生状态、指定学校开放系统、设置学校机动计划数等功能。完全满足淮北市招生办当年投档控制要求。</w:t>
      </w:r>
    </w:p>
    <w:p w14:paraId="2F75FCBF">
      <w:pPr>
        <w:pStyle w:val="36"/>
        <w:numPr>
          <w:ilvl w:val="0"/>
          <w:numId w:val="5"/>
        </w:numPr>
        <w:ind w:firstLineChars="0"/>
        <w:rPr>
          <w:rFonts w:ascii="宋体" w:hAnsi="宋体"/>
          <w:sz w:val="28"/>
          <w:szCs w:val="26"/>
        </w:rPr>
      </w:pPr>
      <w:r>
        <w:rPr>
          <w:rFonts w:hint="eastAsia" w:ascii="宋体" w:hAnsi="宋体"/>
          <w:sz w:val="28"/>
          <w:szCs w:val="26"/>
        </w:rPr>
        <w:t>投档:投档管理提供平行志愿投档、指定投档、指定录取、指定回收、取消录取等功能；软件需要满足淮北市当年招生文件规定的投档模式及相关要求。投档需要采用双人双工，相互独立，互相校验方式进行。</w:t>
      </w:r>
    </w:p>
    <w:p w14:paraId="08D1A522">
      <w:pPr>
        <w:pStyle w:val="36"/>
        <w:numPr>
          <w:ilvl w:val="0"/>
          <w:numId w:val="5"/>
        </w:numPr>
        <w:ind w:firstLineChars="0"/>
        <w:rPr>
          <w:rFonts w:ascii="宋体" w:hAnsi="宋体"/>
          <w:sz w:val="28"/>
          <w:szCs w:val="26"/>
        </w:rPr>
      </w:pPr>
      <w:r>
        <w:rPr>
          <w:rFonts w:hint="eastAsia" w:ascii="宋体" w:hAnsi="宋体"/>
          <w:sz w:val="28"/>
          <w:szCs w:val="26"/>
        </w:rPr>
        <w:t>录退档案:为管理员提供组长录退、指定录退、录取在库考生、批量导入录取、注册与注销、修改注册考生专业、注销已注册考生等功能。此功能主要针对招生</w:t>
      </w:r>
      <w:r>
        <w:rPr>
          <w:rFonts w:ascii="宋体" w:hAnsi="宋体"/>
          <w:sz w:val="28"/>
          <w:szCs w:val="26"/>
        </w:rPr>
        <w:t>办</w:t>
      </w:r>
      <w:r>
        <w:rPr>
          <w:rFonts w:hint="eastAsia" w:ascii="宋体" w:hAnsi="宋体"/>
          <w:sz w:val="28"/>
          <w:szCs w:val="26"/>
        </w:rPr>
        <w:t>当年规定录退条件的考生进行。</w:t>
      </w:r>
    </w:p>
    <w:p w14:paraId="27FAB511">
      <w:pPr>
        <w:pStyle w:val="36"/>
        <w:numPr>
          <w:ilvl w:val="0"/>
          <w:numId w:val="5"/>
        </w:numPr>
        <w:ind w:firstLineChars="0"/>
        <w:rPr>
          <w:rFonts w:ascii="宋体" w:hAnsi="宋体"/>
          <w:sz w:val="28"/>
          <w:szCs w:val="26"/>
        </w:rPr>
      </w:pPr>
      <w:r>
        <w:rPr>
          <w:rFonts w:hint="eastAsia" w:ascii="宋体" w:hAnsi="宋体"/>
          <w:sz w:val="28"/>
          <w:szCs w:val="26"/>
        </w:rPr>
        <w:t>表单打印</w:t>
      </w:r>
      <w:bookmarkStart w:id="15" w:name="OLE_LINK84"/>
      <w:bookmarkStart w:id="16" w:name="OLE_LINK82"/>
      <w:bookmarkStart w:id="17" w:name="OLE_LINK83"/>
      <w:r>
        <w:rPr>
          <w:rFonts w:hint="eastAsia" w:ascii="宋体" w:hAnsi="宋体"/>
          <w:sz w:val="28"/>
          <w:szCs w:val="26"/>
        </w:rPr>
        <w:t>:分录取学校及报名学校打印普高录取表；</w:t>
      </w:r>
      <w:bookmarkEnd w:id="15"/>
      <w:bookmarkEnd w:id="16"/>
      <w:bookmarkEnd w:id="17"/>
    </w:p>
    <w:p w14:paraId="350244D8">
      <w:pPr>
        <w:pStyle w:val="36"/>
        <w:numPr>
          <w:ilvl w:val="0"/>
          <w:numId w:val="5"/>
        </w:numPr>
        <w:ind w:firstLineChars="0"/>
        <w:rPr>
          <w:rFonts w:ascii="宋体" w:hAnsi="宋体"/>
          <w:sz w:val="28"/>
          <w:szCs w:val="26"/>
        </w:rPr>
      </w:pPr>
      <w:r>
        <w:rPr>
          <w:rFonts w:hint="eastAsia" w:ascii="宋体" w:hAnsi="宋体"/>
          <w:sz w:val="28"/>
          <w:szCs w:val="26"/>
        </w:rPr>
        <w:t>查询及</w:t>
      </w:r>
      <w:r>
        <w:rPr>
          <w:rFonts w:ascii="宋体" w:hAnsi="宋体"/>
          <w:sz w:val="28"/>
          <w:szCs w:val="26"/>
        </w:rPr>
        <w:t>打印</w:t>
      </w:r>
      <w:r>
        <w:rPr>
          <w:rFonts w:hint="eastAsia" w:ascii="宋体" w:hAnsi="宋体"/>
          <w:sz w:val="28"/>
          <w:szCs w:val="26"/>
        </w:rPr>
        <w:t>统计报表:查询各招生</w:t>
      </w:r>
      <w:r>
        <w:rPr>
          <w:rFonts w:ascii="宋体" w:hAnsi="宋体"/>
          <w:sz w:val="28"/>
          <w:szCs w:val="26"/>
        </w:rPr>
        <w:t>学校</w:t>
      </w:r>
      <w:r>
        <w:rPr>
          <w:rFonts w:hint="eastAsia" w:ascii="宋体" w:hAnsi="宋体"/>
          <w:sz w:val="28"/>
          <w:szCs w:val="26"/>
        </w:rPr>
        <w:t>分数线、学生基本情况及录取情况，各</w:t>
      </w:r>
      <w:r>
        <w:rPr>
          <w:rFonts w:ascii="宋体" w:hAnsi="宋体"/>
          <w:sz w:val="28"/>
          <w:szCs w:val="26"/>
        </w:rPr>
        <w:t>报名点被各招生学校统招</w:t>
      </w:r>
      <w:r>
        <w:rPr>
          <w:rFonts w:hint="eastAsia" w:ascii="宋体" w:hAnsi="宋体"/>
          <w:sz w:val="28"/>
          <w:szCs w:val="26"/>
        </w:rPr>
        <w:t>、</w:t>
      </w:r>
      <w:r>
        <w:rPr>
          <w:rFonts w:ascii="宋体" w:hAnsi="宋体"/>
          <w:sz w:val="28"/>
          <w:szCs w:val="26"/>
        </w:rPr>
        <w:t>定向</w:t>
      </w:r>
      <w:r>
        <w:rPr>
          <w:rFonts w:hint="eastAsia" w:ascii="宋体" w:hAnsi="宋体"/>
          <w:sz w:val="28"/>
          <w:szCs w:val="26"/>
        </w:rPr>
        <w:t>录取</w:t>
      </w:r>
      <w:r>
        <w:rPr>
          <w:rFonts w:ascii="宋体" w:hAnsi="宋体"/>
          <w:sz w:val="28"/>
          <w:szCs w:val="26"/>
        </w:rPr>
        <w:t>人数、分数等情况；</w:t>
      </w:r>
    </w:p>
    <w:p w14:paraId="1C53411F">
      <w:pPr>
        <w:pStyle w:val="36"/>
        <w:numPr>
          <w:ilvl w:val="0"/>
          <w:numId w:val="5"/>
        </w:numPr>
        <w:ind w:firstLineChars="0"/>
        <w:rPr>
          <w:rFonts w:ascii="宋体" w:hAnsi="宋体"/>
          <w:sz w:val="28"/>
          <w:szCs w:val="26"/>
        </w:rPr>
      </w:pPr>
      <w:r>
        <w:rPr>
          <w:rFonts w:hint="eastAsia" w:ascii="宋体" w:hAnsi="宋体"/>
          <w:sz w:val="28"/>
          <w:szCs w:val="26"/>
        </w:rPr>
        <w:t>阅档客户端:县区阅档及招生学校阅档。</w:t>
      </w:r>
    </w:p>
    <w:p w14:paraId="25A99EFE">
      <w:pPr>
        <w:pStyle w:val="36"/>
        <w:numPr>
          <w:ilvl w:val="0"/>
          <w:numId w:val="5"/>
        </w:numPr>
        <w:ind w:firstLineChars="0"/>
        <w:rPr>
          <w:rFonts w:ascii="宋体" w:hAnsi="宋体"/>
          <w:sz w:val="28"/>
          <w:szCs w:val="26"/>
        </w:rPr>
      </w:pPr>
      <w:r>
        <w:rPr>
          <w:rFonts w:hint="eastAsia" w:ascii="宋体" w:hAnsi="宋体"/>
          <w:sz w:val="28"/>
          <w:szCs w:val="26"/>
        </w:rPr>
        <w:t>退档考生数据分析：统计达线未录考生分数段分布情况、报名点统计情况。</w:t>
      </w:r>
    </w:p>
    <w:p w14:paraId="3A554285">
      <w:pPr>
        <w:pStyle w:val="36"/>
        <w:numPr>
          <w:ilvl w:val="0"/>
          <w:numId w:val="5"/>
        </w:numPr>
        <w:ind w:firstLineChars="0"/>
        <w:rPr>
          <w:rFonts w:ascii="宋体" w:hAnsi="宋体"/>
          <w:sz w:val="28"/>
          <w:szCs w:val="26"/>
        </w:rPr>
      </w:pPr>
      <w:r>
        <w:rPr>
          <w:rFonts w:hint="eastAsia" w:ascii="宋体" w:hAnsi="宋体"/>
          <w:sz w:val="28"/>
          <w:szCs w:val="26"/>
        </w:rPr>
        <w:t>数据导出:需</w:t>
      </w:r>
      <w:r>
        <w:rPr>
          <w:rFonts w:ascii="宋体" w:hAnsi="宋体"/>
          <w:sz w:val="28"/>
          <w:szCs w:val="26"/>
        </w:rPr>
        <w:t>按</w:t>
      </w:r>
      <w:r>
        <w:rPr>
          <w:rFonts w:hint="eastAsia" w:ascii="宋体" w:hAnsi="宋体"/>
          <w:sz w:val="28"/>
          <w:szCs w:val="26"/>
        </w:rPr>
        <w:t>照淮北市</w:t>
      </w:r>
      <w:r>
        <w:rPr>
          <w:rFonts w:ascii="宋体" w:hAnsi="宋体"/>
          <w:sz w:val="28"/>
          <w:szCs w:val="26"/>
        </w:rPr>
        <w:t>招生办</w:t>
      </w:r>
      <w:r>
        <w:rPr>
          <w:rFonts w:hint="eastAsia" w:ascii="宋体" w:hAnsi="宋体"/>
          <w:sz w:val="28"/>
          <w:szCs w:val="26"/>
        </w:rPr>
        <w:t>格式</w:t>
      </w:r>
      <w:r>
        <w:rPr>
          <w:rFonts w:ascii="宋体" w:hAnsi="宋体"/>
          <w:sz w:val="28"/>
          <w:szCs w:val="26"/>
        </w:rPr>
        <w:t>要求</w:t>
      </w:r>
      <w:r>
        <w:rPr>
          <w:rFonts w:hint="eastAsia" w:ascii="宋体" w:hAnsi="宋体"/>
          <w:sz w:val="28"/>
          <w:szCs w:val="26"/>
        </w:rPr>
        <w:t>导出全市总录取名单、各招生</w:t>
      </w:r>
      <w:r>
        <w:rPr>
          <w:rFonts w:ascii="宋体" w:hAnsi="宋体"/>
          <w:sz w:val="28"/>
          <w:szCs w:val="26"/>
        </w:rPr>
        <w:t>学校</w:t>
      </w:r>
      <w:r>
        <w:rPr>
          <w:rFonts w:hint="eastAsia" w:ascii="宋体" w:hAnsi="宋体"/>
          <w:sz w:val="28"/>
          <w:szCs w:val="26"/>
        </w:rPr>
        <w:t>录取名单、各</w:t>
      </w:r>
      <w:r>
        <w:rPr>
          <w:rFonts w:ascii="宋体" w:hAnsi="宋体"/>
          <w:sz w:val="28"/>
          <w:szCs w:val="26"/>
        </w:rPr>
        <w:t>初中学校被录取名单</w:t>
      </w:r>
      <w:r>
        <w:rPr>
          <w:rFonts w:hint="eastAsia" w:ascii="宋体" w:hAnsi="宋体"/>
          <w:sz w:val="28"/>
          <w:szCs w:val="26"/>
        </w:rPr>
        <w:t>（DBF或EXCEL表等格式）。</w:t>
      </w:r>
    </w:p>
    <w:p w14:paraId="737B6FF0">
      <w:pPr>
        <w:pStyle w:val="34"/>
        <w:numPr>
          <w:ilvl w:val="0"/>
          <w:numId w:val="2"/>
        </w:numPr>
        <w:spacing w:line="240" w:lineRule="auto"/>
        <w:rPr>
          <w:b/>
          <w:sz w:val="28"/>
        </w:rPr>
      </w:pPr>
      <w:r>
        <w:rPr>
          <w:rFonts w:hint="eastAsia"/>
          <w:b/>
          <w:sz w:val="28"/>
        </w:rPr>
        <w:t>系统培训</w:t>
      </w:r>
    </w:p>
    <w:p w14:paraId="535B2810">
      <w:pPr>
        <w:pStyle w:val="2"/>
        <w:spacing w:line="520" w:lineRule="exact"/>
        <w:ind w:left="482" w:firstLine="560" w:firstLineChars="200"/>
        <w:rPr>
          <w:rFonts w:ascii="宋体" w:hAnsi="宋体" w:eastAsia="宋体"/>
          <w:sz w:val="28"/>
          <w:szCs w:val="26"/>
          <w:lang w:val="en-US"/>
        </w:rPr>
      </w:pPr>
      <w:r>
        <w:rPr>
          <w:rFonts w:hint="eastAsia" w:ascii="宋体" w:hAnsi="宋体" w:eastAsia="宋体"/>
          <w:sz w:val="28"/>
          <w:szCs w:val="26"/>
          <w:lang w:val="en-US"/>
        </w:rPr>
        <w:t>中标人必须对采购人相关管理和使用人员进行必要的技术和操作培训，以满足本软件系统建成后正常运行、维护和技术支持的需要，培训费用包含在本次投标总报价中。培训对象及目标如下：</w:t>
      </w:r>
    </w:p>
    <w:p w14:paraId="72B84DE7">
      <w:pPr>
        <w:pStyle w:val="36"/>
        <w:numPr>
          <w:ilvl w:val="3"/>
          <w:numId w:val="2"/>
        </w:numPr>
        <w:spacing w:line="360" w:lineRule="auto"/>
        <w:ind w:left="993" w:firstLineChars="0"/>
        <w:rPr>
          <w:rFonts w:ascii="宋体" w:hAnsi="宋体"/>
          <w:sz w:val="28"/>
          <w:szCs w:val="26"/>
        </w:rPr>
      </w:pPr>
      <w:r>
        <w:rPr>
          <w:rFonts w:hint="eastAsia" w:ascii="宋体" w:hAnsi="宋体"/>
          <w:sz w:val="28"/>
          <w:szCs w:val="26"/>
        </w:rPr>
        <w:t>网上填报志愿要有考生填报说明详细文档（图文并茂），全市填报志愿培训会一次（PPT制作）。网上录取要求网上录取说明详细文档（图文并茂）；</w:t>
      </w:r>
    </w:p>
    <w:p w14:paraId="165609D0">
      <w:pPr>
        <w:pStyle w:val="2"/>
        <w:numPr>
          <w:ilvl w:val="3"/>
          <w:numId w:val="2"/>
        </w:numPr>
        <w:spacing w:line="520" w:lineRule="exact"/>
        <w:ind w:left="993"/>
        <w:rPr>
          <w:rFonts w:ascii="宋体" w:hAnsi="宋体" w:eastAsia="宋体"/>
          <w:sz w:val="28"/>
          <w:szCs w:val="26"/>
          <w:lang w:val="en-US"/>
        </w:rPr>
      </w:pPr>
      <w:r>
        <w:rPr>
          <w:rFonts w:hint="eastAsia" w:ascii="宋体" w:hAnsi="宋体" w:eastAsia="宋体"/>
          <w:sz w:val="28"/>
          <w:szCs w:val="26"/>
          <w:lang w:val="en-US"/>
        </w:rPr>
        <w:t>信息系统管理员：中标人应为信息系统管理员提供软件应用、备份、系统管理、数据库管理等方面培训，使其在投标人人员撤离后能独立承担系统的日常维护；</w:t>
      </w:r>
    </w:p>
    <w:p w14:paraId="6815CEB5">
      <w:pPr>
        <w:pStyle w:val="2"/>
        <w:numPr>
          <w:ilvl w:val="3"/>
          <w:numId w:val="2"/>
        </w:numPr>
        <w:spacing w:line="520" w:lineRule="exact"/>
        <w:ind w:left="993"/>
        <w:rPr>
          <w:rFonts w:ascii="宋体" w:hAnsi="宋体" w:eastAsia="宋体"/>
          <w:sz w:val="28"/>
          <w:szCs w:val="26"/>
          <w:lang w:val="en-US"/>
        </w:rPr>
      </w:pPr>
      <w:r>
        <w:rPr>
          <w:rFonts w:hint="eastAsia" w:ascii="宋体" w:hAnsi="宋体" w:eastAsia="宋体"/>
          <w:sz w:val="28"/>
          <w:szCs w:val="26"/>
          <w:lang w:val="en-US"/>
        </w:rPr>
        <w:t>相关业务人员：使各相关业务人员了解各功能模块的作用和相互间关联原理，掌握本部门业务相关模块的具体使用方法。</w:t>
      </w:r>
    </w:p>
    <w:p w14:paraId="70C5E5A6">
      <w:pPr>
        <w:pStyle w:val="34"/>
        <w:numPr>
          <w:ilvl w:val="0"/>
          <w:numId w:val="2"/>
        </w:numPr>
        <w:spacing w:line="240" w:lineRule="auto"/>
        <w:rPr>
          <w:b/>
          <w:sz w:val="28"/>
        </w:rPr>
      </w:pPr>
      <w:r>
        <w:rPr>
          <w:rFonts w:hint="eastAsia"/>
          <w:b/>
          <w:sz w:val="28"/>
        </w:rPr>
        <w:t>网上</w:t>
      </w:r>
      <w:r>
        <w:rPr>
          <w:b/>
          <w:sz w:val="28"/>
        </w:rPr>
        <w:t>填报志愿</w:t>
      </w:r>
      <w:r>
        <w:rPr>
          <w:rFonts w:hint="eastAsia"/>
          <w:b/>
          <w:sz w:val="28"/>
        </w:rPr>
        <w:t>平台云端建设</w:t>
      </w:r>
    </w:p>
    <w:p w14:paraId="7A87391C">
      <w:pPr>
        <w:pStyle w:val="36"/>
        <w:numPr>
          <w:ilvl w:val="0"/>
          <w:numId w:val="6"/>
        </w:numPr>
        <w:ind w:firstLineChars="0"/>
        <w:rPr>
          <w:rFonts w:ascii="宋体" w:hAnsi="宋体"/>
          <w:sz w:val="28"/>
          <w:szCs w:val="26"/>
        </w:rPr>
      </w:pPr>
      <w:r>
        <w:rPr>
          <w:rFonts w:hint="eastAsia" w:ascii="宋体" w:hAnsi="宋体"/>
          <w:sz w:val="28"/>
          <w:szCs w:val="26"/>
        </w:rPr>
        <w:t>平台将采用云端建设的方式，由开发方提供云端环境</w:t>
      </w:r>
      <w:r>
        <w:rPr>
          <w:rFonts w:ascii="宋体" w:hAnsi="宋体"/>
          <w:sz w:val="28"/>
          <w:szCs w:val="26"/>
        </w:rPr>
        <w:t>建设</w:t>
      </w:r>
      <w:r>
        <w:rPr>
          <w:rFonts w:hint="eastAsia" w:ascii="宋体" w:hAnsi="宋体"/>
          <w:sz w:val="28"/>
          <w:szCs w:val="26"/>
        </w:rPr>
        <w:t>及</w:t>
      </w:r>
      <w:r>
        <w:rPr>
          <w:rFonts w:ascii="宋体" w:hAnsi="宋体"/>
          <w:sz w:val="28"/>
          <w:szCs w:val="26"/>
        </w:rPr>
        <w:t>相应的技术支持，</w:t>
      </w:r>
      <w:r>
        <w:rPr>
          <w:rFonts w:hint="eastAsia" w:ascii="宋体" w:hAnsi="宋体"/>
          <w:sz w:val="28"/>
          <w:szCs w:val="26"/>
        </w:rPr>
        <w:t>同时确保整个平台使用期间的数据安全性。平台在使用期间能确保志愿网上填报系统通畅，</w:t>
      </w:r>
      <w:r>
        <w:rPr>
          <w:rFonts w:ascii="宋体" w:hAnsi="宋体"/>
          <w:sz w:val="28"/>
          <w:szCs w:val="26"/>
        </w:rPr>
        <w:t>供</w:t>
      </w:r>
      <w:r>
        <w:rPr>
          <w:rFonts w:hint="eastAsia" w:ascii="宋体" w:hAnsi="宋体"/>
          <w:sz w:val="28"/>
          <w:szCs w:val="26"/>
        </w:rPr>
        <w:t>4万左右考生采用</w:t>
      </w:r>
      <w:r>
        <w:rPr>
          <w:rFonts w:ascii="宋体" w:hAnsi="宋体"/>
          <w:sz w:val="28"/>
          <w:szCs w:val="26"/>
        </w:rPr>
        <w:t>固定网址填报</w:t>
      </w:r>
      <w:r>
        <w:rPr>
          <w:rFonts w:hint="eastAsia" w:ascii="宋体" w:hAnsi="宋体"/>
          <w:sz w:val="28"/>
          <w:szCs w:val="26"/>
        </w:rPr>
        <w:t>志愿的</w:t>
      </w:r>
      <w:r>
        <w:rPr>
          <w:rFonts w:ascii="宋体" w:hAnsi="宋体"/>
          <w:sz w:val="28"/>
          <w:szCs w:val="26"/>
        </w:rPr>
        <w:t>需求。</w:t>
      </w:r>
      <w:r>
        <w:rPr>
          <w:rFonts w:hint="eastAsia" w:ascii="宋体" w:hAnsi="宋体"/>
          <w:sz w:val="28"/>
          <w:szCs w:val="26"/>
        </w:rPr>
        <w:t>系统支持并发用户数大于</w:t>
      </w:r>
      <w:r>
        <w:rPr>
          <w:rFonts w:ascii="宋体" w:hAnsi="宋体"/>
          <w:sz w:val="28"/>
          <w:szCs w:val="26"/>
        </w:rPr>
        <w:t>5000人</w:t>
      </w:r>
      <w:r>
        <w:rPr>
          <w:rFonts w:hint="eastAsia" w:ascii="宋体" w:hAnsi="宋体"/>
          <w:sz w:val="28"/>
          <w:szCs w:val="26"/>
        </w:rPr>
        <w:t>，支持200所</w:t>
      </w:r>
      <w:r>
        <w:rPr>
          <w:rFonts w:ascii="宋体" w:hAnsi="宋体"/>
          <w:sz w:val="28"/>
          <w:szCs w:val="26"/>
        </w:rPr>
        <w:t>中学用户组</w:t>
      </w:r>
      <w:r>
        <w:rPr>
          <w:rFonts w:hint="eastAsia" w:ascii="宋体" w:hAnsi="宋体"/>
          <w:sz w:val="28"/>
          <w:szCs w:val="26"/>
        </w:rPr>
        <w:t>同时</w:t>
      </w:r>
      <w:r>
        <w:rPr>
          <w:rFonts w:ascii="宋体" w:hAnsi="宋体"/>
          <w:sz w:val="28"/>
          <w:szCs w:val="26"/>
        </w:rPr>
        <w:t>登陆；软件反映速度≤1秒。系统无故障运行时间大于500小时；系统恢复时间：系统恢复时间小于6小时</w:t>
      </w:r>
      <w:r>
        <w:rPr>
          <w:rFonts w:hint="eastAsia" w:ascii="宋体" w:hAnsi="宋体"/>
          <w:sz w:val="28"/>
          <w:szCs w:val="26"/>
        </w:rPr>
        <w:t>。</w:t>
      </w:r>
    </w:p>
    <w:p w14:paraId="6DF32366">
      <w:pPr>
        <w:pStyle w:val="36"/>
        <w:widowControl/>
        <w:numPr>
          <w:ilvl w:val="0"/>
          <w:numId w:val="6"/>
        </w:numPr>
        <w:ind w:firstLineChars="0"/>
        <w:jc w:val="left"/>
        <w:rPr>
          <w:rFonts w:ascii="宋体" w:hAnsi="宋体" w:cs="宋体"/>
          <w:kern w:val="0"/>
          <w:sz w:val="24"/>
          <w:szCs w:val="24"/>
        </w:rPr>
      </w:pPr>
      <w:r>
        <w:rPr>
          <w:rFonts w:ascii="宋体" w:hAnsi="宋体"/>
          <w:sz w:val="28"/>
          <w:szCs w:val="26"/>
        </w:rPr>
        <w:t>云平台中云主机服务、对象存储服务、云数据库服务均要获得可信云服务认证</w:t>
      </w:r>
      <w:r>
        <w:rPr>
          <w:rFonts w:hint="eastAsia" w:ascii="宋体" w:hAnsi="宋体"/>
          <w:sz w:val="28"/>
          <w:szCs w:val="26"/>
        </w:rPr>
        <w:t>。云平台</w:t>
      </w:r>
      <w:r>
        <w:rPr>
          <w:rFonts w:ascii="宋体" w:hAnsi="宋体"/>
          <w:sz w:val="28"/>
          <w:szCs w:val="26"/>
        </w:rPr>
        <w:t>必须</w:t>
      </w:r>
      <w:r>
        <w:rPr>
          <w:rFonts w:hint="eastAsia" w:ascii="宋体" w:hAnsi="宋体"/>
          <w:sz w:val="28"/>
          <w:szCs w:val="26"/>
        </w:rPr>
        <w:t>符合</w:t>
      </w:r>
      <w:r>
        <w:rPr>
          <w:rFonts w:ascii="宋体" w:hAnsi="宋体"/>
          <w:sz w:val="28"/>
          <w:szCs w:val="26"/>
        </w:rPr>
        <w:t>国家法律法规规定，确保用户数据绝对安全。</w:t>
      </w:r>
    </w:p>
    <w:p w14:paraId="3C06C25B">
      <w:pPr>
        <w:pStyle w:val="36"/>
        <w:numPr>
          <w:ilvl w:val="0"/>
          <w:numId w:val="6"/>
        </w:numPr>
        <w:ind w:firstLineChars="0"/>
        <w:rPr>
          <w:rFonts w:ascii="宋体" w:hAnsi="宋体"/>
          <w:sz w:val="28"/>
          <w:szCs w:val="26"/>
        </w:rPr>
      </w:pPr>
      <w:r>
        <w:rPr>
          <w:rFonts w:hint="eastAsia" w:ascii="宋体" w:hAnsi="宋体"/>
          <w:sz w:val="28"/>
          <w:szCs w:val="26"/>
        </w:rPr>
        <w:t>确保</w:t>
      </w:r>
      <w:r>
        <w:rPr>
          <w:rFonts w:ascii="宋体" w:hAnsi="宋体"/>
          <w:sz w:val="28"/>
          <w:szCs w:val="26"/>
        </w:rPr>
        <w:t>我市中考考生填报志愿网址固定，</w:t>
      </w:r>
      <w:r>
        <w:rPr>
          <w:rFonts w:hint="eastAsia" w:ascii="宋体" w:hAnsi="宋体"/>
          <w:sz w:val="28"/>
          <w:szCs w:val="26"/>
        </w:rPr>
        <w:t>不得</w:t>
      </w:r>
      <w:r>
        <w:rPr>
          <w:rFonts w:ascii="宋体" w:hAnsi="宋体"/>
          <w:sz w:val="28"/>
          <w:szCs w:val="26"/>
        </w:rPr>
        <w:t>随意</w:t>
      </w:r>
      <w:r>
        <w:rPr>
          <w:rFonts w:hint="eastAsia" w:ascii="宋体" w:hAnsi="宋体"/>
          <w:sz w:val="28"/>
          <w:szCs w:val="26"/>
        </w:rPr>
        <w:t>更改</w:t>
      </w:r>
      <w:r>
        <w:rPr>
          <w:rFonts w:ascii="宋体" w:hAnsi="宋体"/>
          <w:sz w:val="28"/>
          <w:szCs w:val="26"/>
        </w:rPr>
        <w:t>或转借他人，确保我方</w:t>
      </w:r>
      <w:r>
        <w:rPr>
          <w:rFonts w:hint="eastAsia" w:ascii="宋体" w:hAnsi="宋体"/>
          <w:sz w:val="28"/>
          <w:szCs w:val="26"/>
        </w:rPr>
        <w:t>拥有</w:t>
      </w:r>
      <w:r>
        <w:rPr>
          <w:rFonts w:ascii="宋体" w:hAnsi="宋体"/>
          <w:sz w:val="28"/>
          <w:szCs w:val="26"/>
        </w:rPr>
        <w:t>使用权。</w:t>
      </w:r>
    </w:p>
    <w:p w14:paraId="068664E7">
      <w:pPr>
        <w:pStyle w:val="34"/>
        <w:numPr>
          <w:ilvl w:val="0"/>
          <w:numId w:val="2"/>
        </w:numPr>
        <w:spacing w:line="240" w:lineRule="auto"/>
        <w:rPr>
          <w:b/>
          <w:sz w:val="28"/>
        </w:rPr>
      </w:pPr>
      <w:r>
        <w:rPr>
          <w:rFonts w:hint="eastAsia"/>
          <w:b/>
          <w:sz w:val="28"/>
        </w:rPr>
        <w:t>开发</w:t>
      </w:r>
      <w:r>
        <w:rPr>
          <w:b/>
          <w:sz w:val="28"/>
        </w:rPr>
        <w:t>指标</w:t>
      </w:r>
      <w:r>
        <w:rPr>
          <w:rFonts w:hint="eastAsia"/>
          <w:b/>
          <w:sz w:val="28"/>
        </w:rPr>
        <w:t>要求</w:t>
      </w:r>
    </w:p>
    <w:p w14:paraId="5B57F984">
      <w:pPr>
        <w:pStyle w:val="34"/>
        <w:numPr>
          <w:ilvl w:val="3"/>
          <w:numId w:val="2"/>
        </w:numPr>
        <w:ind w:left="993"/>
        <w:jc w:val="left"/>
        <w:rPr>
          <w:sz w:val="28"/>
        </w:rPr>
      </w:pPr>
      <w:r>
        <w:rPr>
          <w:rFonts w:hint="eastAsia"/>
          <w:sz w:val="28"/>
        </w:rPr>
        <w:t>要求采用大型数据库管理系统集中存储和管理数据，使用</w:t>
      </w:r>
      <w:r>
        <w:rPr>
          <w:sz w:val="28"/>
        </w:rPr>
        <w:t xml:space="preserve">ORACLE等。 </w:t>
      </w:r>
    </w:p>
    <w:p w14:paraId="36DCAC1B">
      <w:pPr>
        <w:pStyle w:val="34"/>
        <w:numPr>
          <w:ilvl w:val="3"/>
          <w:numId w:val="2"/>
        </w:numPr>
        <w:ind w:left="993"/>
        <w:jc w:val="left"/>
        <w:rPr>
          <w:sz w:val="28"/>
        </w:rPr>
      </w:pPr>
      <w:r>
        <w:rPr>
          <w:rFonts w:hint="eastAsia"/>
          <w:sz w:val="28"/>
        </w:rPr>
        <w:t>要求采用多层结构开发程序，采用</w:t>
      </w:r>
      <w:r>
        <w:rPr>
          <w:sz w:val="28"/>
        </w:rPr>
        <w:t xml:space="preserve">SOA架构。  </w:t>
      </w:r>
    </w:p>
    <w:p w14:paraId="76E202E5">
      <w:pPr>
        <w:pStyle w:val="34"/>
        <w:numPr>
          <w:ilvl w:val="3"/>
          <w:numId w:val="2"/>
        </w:numPr>
        <w:ind w:left="993"/>
        <w:jc w:val="left"/>
        <w:rPr>
          <w:sz w:val="28"/>
        </w:rPr>
      </w:pPr>
      <w:r>
        <w:rPr>
          <w:rFonts w:hint="eastAsia"/>
          <w:sz w:val="28"/>
        </w:rPr>
        <w:t>要求采用主流的开发技术和语言及框架</w:t>
      </w:r>
      <w:r>
        <w:rPr>
          <w:sz w:val="28"/>
        </w:rPr>
        <w:t xml:space="preserve">,技术体系JAVA 。 </w:t>
      </w:r>
    </w:p>
    <w:p w14:paraId="54B39217">
      <w:pPr>
        <w:pStyle w:val="34"/>
        <w:numPr>
          <w:ilvl w:val="3"/>
          <w:numId w:val="2"/>
        </w:numPr>
        <w:spacing w:line="240" w:lineRule="auto"/>
        <w:ind w:left="993"/>
        <w:jc w:val="left"/>
        <w:rPr>
          <w:sz w:val="28"/>
        </w:rPr>
      </w:pPr>
      <w:r>
        <w:rPr>
          <w:rFonts w:hint="eastAsia"/>
          <w:sz w:val="28"/>
        </w:rPr>
        <w:t>要求在实现上分出数据层、服务层、界面层几个层次，以加强数据安全和提高系统并发处理能力。</w:t>
      </w:r>
    </w:p>
    <w:p w14:paraId="788869B6">
      <w:pPr>
        <w:pStyle w:val="34"/>
        <w:numPr>
          <w:ilvl w:val="0"/>
          <w:numId w:val="2"/>
        </w:numPr>
        <w:spacing w:line="240" w:lineRule="auto"/>
        <w:rPr>
          <w:b/>
          <w:sz w:val="28"/>
        </w:rPr>
      </w:pPr>
      <w:r>
        <w:rPr>
          <w:rFonts w:hint="eastAsia"/>
          <w:b/>
          <w:sz w:val="28"/>
        </w:rPr>
        <w:t>技术支持及服务具体要求</w:t>
      </w:r>
    </w:p>
    <w:p w14:paraId="3185E59E">
      <w:pPr>
        <w:pStyle w:val="36"/>
        <w:numPr>
          <w:ilvl w:val="0"/>
          <w:numId w:val="7"/>
        </w:numPr>
        <w:ind w:firstLineChars="0"/>
        <w:rPr>
          <w:rFonts w:ascii="宋体" w:hAnsi="宋体"/>
          <w:sz w:val="28"/>
          <w:szCs w:val="26"/>
        </w:rPr>
      </w:pPr>
      <w:r>
        <w:rPr>
          <w:rFonts w:hint="eastAsia" w:ascii="宋体" w:hAnsi="宋体"/>
          <w:sz w:val="28"/>
          <w:szCs w:val="26"/>
        </w:rPr>
        <w:t>中标方负责在中考志愿填报、投档录取阶段派驻2—3名技术人员进行现场技术支持和现场实施服务，能独立操作整个实施过程，并能够根据实际需要对志愿填报、投档录取功能做相应调整。技术</w:t>
      </w:r>
      <w:r>
        <w:rPr>
          <w:rFonts w:ascii="宋体" w:hAnsi="宋体"/>
          <w:sz w:val="28"/>
          <w:szCs w:val="26"/>
        </w:rPr>
        <w:t>人员食宿自理。</w:t>
      </w:r>
    </w:p>
    <w:p w14:paraId="4E1F4276">
      <w:pPr>
        <w:pStyle w:val="36"/>
        <w:numPr>
          <w:ilvl w:val="0"/>
          <w:numId w:val="7"/>
        </w:numPr>
        <w:ind w:firstLineChars="0"/>
        <w:rPr>
          <w:rFonts w:ascii="宋体" w:hAnsi="宋体"/>
          <w:sz w:val="28"/>
          <w:szCs w:val="26"/>
        </w:rPr>
      </w:pPr>
      <w:r>
        <w:rPr>
          <w:rFonts w:hint="eastAsia" w:ascii="宋体" w:hAnsi="宋体"/>
          <w:sz w:val="28"/>
          <w:szCs w:val="26"/>
        </w:rPr>
        <w:t>中标人</w:t>
      </w:r>
      <w:r>
        <w:rPr>
          <w:rFonts w:ascii="宋体" w:hAnsi="宋体"/>
          <w:sz w:val="28"/>
          <w:szCs w:val="26"/>
        </w:rPr>
        <w:t>需按</w:t>
      </w:r>
      <w:r>
        <w:rPr>
          <w:rFonts w:hint="eastAsia" w:ascii="宋体" w:hAnsi="宋体"/>
          <w:sz w:val="28"/>
          <w:szCs w:val="26"/>
        </w:rPr>
        <w:t>招标文件</w:t>
      </w:r>
      <w:r>
        <w:rPr>
          <w:rFonts w:ascii="宋体" w:hAnsi="宋体"/>
          <w:sz w:val="28"/>
          <w:szCs w:val="26"/>
        </w:rPr>
        <w:t>的要求完成</w:t>
      </w:r>
      <w:r>
        <w:rPr>
          <w:rFonts w:hint="eastAsia" w:ascii="宋体" w:hAnsi="宋体"/>
          <w:sz w:val="28"/>
          <w:szCs w:val="26"/>
        </w:rPr>
        <w:t>软件及系统</w:t>
      </w:r>
      <w:r>
        <w:rPr>
          <w:rFonts w:ascii="宋体" w:hAnsi="宋体"/>
          <w:sz w:val="28"/>
          <w:szCs w:val="26"/>
        </w:rPr>
        <w:t>的安装、调试、试运行</w:t>
      </w:r>
      <w:r>
        <w:rPr>
          <w:rFonts w:hint="eastAsia" w:ascii="宋体" w:hAnsi="宋体"/>
          <w:sz w:val="28"/>
          <w:szCs w:val="26"/>
        </w:rPr>
        <w:t>、运行保障和维修</w:t>
      </w:r>
      <w:r>
        <w:rPr>
          <w:rFonts w:ascii="宋体" w:hAnsi="宋体"/>
          <w:sz w:val="28"/>
          <w:szCs w:val="26"/>
        </w:rPr>
        <w:t>服务、现场技术服务等工作。</w:t>
      </w:r>
    </w:p>
    <w:p w14:paraId="45897EAA">
      <w:pPr>
        <w:pStyle w:val="2"/>
        <w:numPr>
          <w:ilvl w:val="0"/>
          <w:numId w:val="7"/>
        </w:numPr>
        <w:spacing w:line="520" w:lineRule="exact"/>
        <w:rPr>
          <w:rFonts w:ascii="宋体" w:hAnsi="宋体" w:eastAsia="宋体"/>
          <w:sz w:val="28"/>
          <w:szCs w:val="26"/>
          <w:lang w:val="en-US"/>
        </w:rPr>
      </w:pPr>
      <w:r>
        <w:rPr>
          <w:rFonts w:hint="eastAsia" w:ascii="宋体" w:hAnsi="宋体" w:eastAsia="宋体"/>
          <w:sz w:val="28"/>
          <w:szCs w:val="26"/>
          <w:lang w:val="en-US"/>
        </w:rPr>
        <w:t>中标人必须确保本系统所使用的开发平台、数据库等第三方产品均为合法获得，对因此可能引发的相关法律责任，由中标供应商全部承担。</w:t>
      </w:r>
    </w:p>
    <w:p w14:paraId="14D8A581">
      <w:pPr>
        <w:pStyle w:val="2"/>
        <w:numPr>
          <w:ilvl w:val="0"/>
          <w:numId w:val="7"/>
        </w:numPr>
        <w:spacing w:line="520" w:lineRule="exact"/>
        <w:rPr>
          <w:rFonts w:ascii="宋体" w:hAnsi="宋体" w:eastAsia="宋体"/>
          <w:sz w:val="28"/>
          <w:szCs w:val="26"/>
          <w:lang w:val="en-US"/>
        </w:rPr>
      </w:pPr>
      <w:r>
        <w:rPr>
          <w:rFonts w:hint="eastAsia" w:ascii="宋体" w:hAnsi="宋体" w:eastAsia="宋体"/>
          <w:sz w:val="28"/>
          <w:szCs w:val="26"/>
          <w:lang w:val="en-US"/>
        </w:rPr>
        <w:t>本系统软件开发的相关知识产权为采购人所有，中标人必须预留必要的二次开发接口，采购人有权在此基础上进行必要的二次开发升级和整合。</w:t>
      </w:r>
    </w:p>
    <w:p w14:paraId="7120304B">
      <w:pPr>
        <w:pStyle w:val="2"/>
        <w:numPr>
          <w:ilvl w:val="0"/>
          <w:numId w:val="7"/>
        </w:numPr>
        <w:spacing w:line="520" w:lineRule="exact"/>
        <w:rPr>
          <w:rFonts w:ascii="宋体" w:hAnsi="宋体" w:eastAsia="宋体"/>
          <w:sz w:val="28"/>
          <w:szCs w:val="26"/>
          <w:lang w:val="en-US"/>
        </w:rPr>
      </w:pPr>
      <w:r>
        <w:rPr>
          <w:rFonts w:hint="eastAsia" w:ascii="宋体" w:hAnsi="宋体" w:eastAsia="宋体"/>
          <w:sz w:val="28"/>
          <w:szCs w:val="26"/>
          <w:lang w:val="en-US"/>
        </w:rPr>
        <w:t>中标人应负责将系统的全部有关操作手册、方案设计、参数设定、软件说明书、数据库结构、程序源代码、安装、测试、验收报告等，汇集成册交付给招标人。</w:t>
      </w:r>
    </w:p>
    <w:p w14:paraId="1FD51CA9">
      <w:pPr>
        <w:pStyle w:val="36"/>
        <w:numPr>
          <w:ilvl w:val="0"/>
          <w:numId w:val="7"/>
        </w:numPr>
        <w:ind w:firstLineChars="0"/>
        <w:rPr>
          <w:rFonts w:ascii="宋体" w:hAnsi="宋体"/>
          <w:sz w:val="28"/>
          <w:szCs w:val="26"/>
        </w:rPr>
      </w:pPr>
      <w:r>
        <w:rPr>
          <w:rFonts w:hint="eastAsia" w:ascii="宋体" w:hAnsi="宋体"/>
          <w:sz w:val="28"/>
          <w:szCs w:val="26"/>
        </w:rPr>
        <w:t>中标人应向招标人提供全方位及时而有效的技术支持和服务。为保证系统运行的高度严肃性和严谨性，在规定的项目工期和质保期内，中标人必须无条件满足采购人根据实际需求进行的必要的调整与开发，以达到项目的整体建设目标要求。</w:t>
      </w:r>
    </w:p>
    <w:p w14:paraId="18D1D2FE">
      <w:pPr>
        <w:pStyle w:val="36"/>
        <w:numPr>
          <w:ilvl w:val="0"/>
          <w:numId w:val="7"/>
        </w:numPr>
        <w:ind w:firstLineChars="0"/>
        <w:rPr>
          <w:rFonts w:ascii="宋体" w:hAnsi="宋体"/>
          <w:sz w:val="28"/>
          <w:szCs w:val="26"/>
        </w:rPr>
      </w:pPr>
      <w:r>
        <w:rPr>
          <w:rFonts w:hint="eastAsia" w:ascii="宋体" w:hAnsi="宋体"/>
          <w:sz w:val="28"/>
          <w:szCs w:val="26"/>
        </w:rPr>
        <w:t>中标公司</w:t>
      </w:r>
      <w:r>
        <w:rPr>
          <w:rFonts w:ascii="宋体" w:hAnsi="宋体"/>
          <w:sz w:val="28"/>
          <w:szCs w:val="26"/>
        </w:rPr>
        <w:t>在中标后,</w:t>
      </w:r>
      <w:r>
        <w:rPr>
          <w:rFonts w:hint="eastAsia" w:ascii="宋体" w:hAnsi="宋体"/>
          <w:color w:val="000000"/>
          <w:szCs w:val="28"/>
        </w:rPr>
        <w:t xml:space="preserve"> </w:t>
      </w:r>
      <w:r>
        <w:rPr>
          <w:rFonts w:hint="eastAsia" w:ascii="宋体" w:hAnsi="宋体"/>
          <w:sz w:val="28"/>
          <w:szCs w:val="26"/>
        </w:rPr>
        <w:t>参与系统开发建设及</w:t>
      </w:r>
      <w:r>
        <w:rPr>
          <w:rFonts w:ascii="宋体" w:hAnsi="宋体"/>
          <w:sz w:val="28"/>
          <w:szCs w:val="26"/>
        </w:rPr>
        <w:t>后期维护</w:t>
      </w:r>
      <w:r>
        <w:rPr>
          <w:rFonts w:hint="eastAsia" w:ascii="宋体" w:hAnsi="宋体"/>
          <w:sz w:val="28"/>
          <w:szCs w:val="26"/>
        </w:rPr>
        <w:t>的工作人员必须与淮北市教育局签订保密协议。严格遵守国家法律、法规，做好招生期间核心数据的保密工作。</w:t>
      </w:r>
    </w:p>
    <w:p w14:paraId="029D745C">
      <w:pPr>
        <w:pStyle w:val="36"/>
        <w:numPr>
          <w:ilvl w:val="0"/>
          <w:numId w:val="7"/>
        </w:numPr>
        <w:ind w:firstLineChars="0"/>
        <w:rPr>
          <w:rFonts w:ascii="宋体" w:hAnsi="宋体"/>
          <w:sz w:val="28"/>
          <w:szCs w:val="26"/>
        </w:rPr>
      </w:pPr>
      <w:r>
        <w:rPr>
          <w:rFonts w:hint="eastAsia" w:ascii="宋体" w:hAnsi="宋体"/>
          <w:sz w:val="28"/>
          <w:szCs w:val="26"/>
        </w:rPr>
        <w:t>志愿</w:t>
      </w:r>
      <w:r>
        <w:rPr>
          <w:rFonts w:ascii="宋体" w:hAnsi="宋体"/>
          <w:sz w:val="28"/>
          <w:szCs w:val="26"/>
        </w:rPr>
        <w:t>填报结束后，</w:t>
      </w:r>
      <w:r>
        <w:rPr>
          <w:rFonts w:hint="eastAsia" w:ascii="宋体" w:hAnsi="宋体"/>
          <w:sz w:val="28"/>
          <w:szCs w:val="26"/>
        </w:rPr>
        <w:t>按</w:t>
      </w:r>
      <w:r>
        <w:rPr>
          <w:rFonts w:ascii="宋体" w:hAnsi="宋体"/>
          <w:sz w:val="28"/>
          <w:szCs w:val="26"/>
        </w:rPr>
        <w:t>客户</w:t>
      </w:r>
      <w:r>
        <w:rPr>
          <w:rFonts w:hint="eastAsia" w:ascii="宋体" w:hAnsi="宋体"/>
          <w:sz w:val="28"/>
          <w:szCs w:val="26"/>
        </w:rPr>
        <w:t>要求</w:t>
      </w:r>
      <w:r>
        <w:rPr>
          <w:rFonts w:ascii="宋体" w:hAnsi="宋体"/>
          <w:sz w:val="28"/>
          <w:szCs w:val="26"/>
        </w:rPr>
        <w:t>的时间节点</w:t>
      </w:r>
      <w:r>
        <w:rPr>
          <w:rFonts w:hint="eastAsia" w:ascii="宋体" w:hAnsi="宋体"/>
          <w:sz w:val="28"/>
          <w:szCs w:val="26"/>
        </w:rPr>
        <w:t>，</w:t>
      </w:r>
      <w:r>
        <w:rPr>
          <w:rFonts w:ascii="宋体" w:hAnsi="宋体"/>
          <w:sz w:val="28"/>
          <w:szCs w:val="26"/>
        </w:rPr>
        <w:t>删除考生数据</w:t>
      </w:r>
      <w:r>
        <w:rPr>
          <w:rFonts w:hint="eastAsia" w:ascii="宋体" w:hAnsi="宋体"/>
          <w:sz w:val="28"/>
          <w:szCs w:val="26"/>
        </w:rPr>
        <w:t>，</w:t>
      </w:r>
      <w:r>
        <w:rPr>
          <w:rFonts w:ascii="宋体" w:hAnsi="宋体"/>
          <w:sz w:val="28"/>
          <w:szCs w:val="26"/>
        </w:rPr>
        <w:t>确保数据</w:t>
      </w:r>
      <w:r>
        <w:rPr>
          <w:rFonts w:hint="eastAsia" w:ascii="宋体" w:hAnsi="宋体"/>
          <w:sz w:val="28"/>
          <w:szCs w:val="26"/>
        </w:rPr>
        <w:t>安全</w:t>
      </w:r>
      <w:r>
        <w:rPr>
          <w:rFonts w:ascii="宋体" w:hAnsi="宋体"/>
          <w:sz w:val="28"/>
          <w:szCs w:val="26"/>
        </w:rPr>
        <w:t>。</w:t>
      </w:r>
    </w:p>
    <w:p w14:paraId="097A26CE">
      <w:pPr>
        <w:pStyle w:val="36"/>
        <w:numPr>
          <w:ilvl w:val="0"/>
          <w:numId w:val="1"/>
        </w:numPr>
        <w:spacing w:line="360" w:lineRule="auto"/>
        <w:ind w:firstLineChars="0"/>
        <w:rPr>
          <w:rFonts w:ascii="仿宋" w:hAnsi="仿宋" w:eastAsia="仿宋"/>
          <w:b/>
          <w:kern w:val="0"/>
          <w:sz w:val="32"/>
          <w:szCs w:val="36"/>
        </w:rPr>
      </w:pPr>
      <w:r>
        <w:rPr>
          <w:rFonts w:hint="eastAsia" w:ascii="仿宋" w:hAnsi="仿宋" w:eastAsia="仿宋"/>
          <w:b/>
          <w:kern w:val="0"/>
          <w:sz w:val="32"/>
          <w:szCs w:val="36"/>
        </w:rPr>
        <w:t>其他要求</w:t>
      </w:r>
    </w:p>
    <w:p w14:paraId="25481892">
      <w:pPr>
        <w:pStyle w:val="34"/>
        <w:spacing w:line="240" w:lineRule="auto"/>
        <w:rPr>
          <w:rFonts w:ascii="仿宋" w:hAnsi="仿宋" w:eastAsia="仿宋" w:cs="仿宋"/>
          <w:kern w:val="0"/>
          <w:sz w:val="28"/>
          <w:szCs w:val="28"/>
        </w:rPr>
      </w:pPr>
      <w:r>
        <w:rPr>
          <w:rFonts w:hint="eastAsia"/>
          <w:sz w:val="28"/>
        </w:rPr>
        <w:t>具有完善的售后服务制度和良好的售后服务记录，能提供良好售后服务。</w:t>
      </w:r>
      <w:r>
        <w:rPr>
          <w:rFonts w:hint="eastAsia" w:ascii="仿宋" w:hAnsi="仿宋" w:eastAsia="仿宋" w:cs="仿宋"/>
          <w:kern w:val="0"/>
          <w:sz w:val="28"/>
          <w:szCs w:val="28"/>
        </w:rPr>
        <w:t>（完）</w:t>
      </w:r>
    </w:p>
    <w:p w14:paraId="17FBA147"/>
    <w:p w14:paraId="60EE7A04">
      <w:pPr>
        <w:jc w:val="left"/>
        <w:rPr>
          <w:rFonts w:ascii="宋体" w:hAnsi="宋体" w:cs="宋体"/>
        </w:rPr>
      </w:pPr>
    </w:p>
    <w:p w14:paraId="382911B6">
      <w:pPr>
        <w:jc w:val="center"/>
        <w:rPr>
          <w:rFonts w:ascii="仿宋" w:hAnsi="仿宋" w:eastAsia="仿宋" w:cs="仿宋"/>
          <w:b/>
          <w:bCs/>
          <w:color w:val="000000"/>
          <w:sz w:val="28"/>
          <w:szCs w:val="28"/>
        </w:rPr>
      </w:pPr>
    </w:p>
    <w:p w14:paraId="6818D0B9">
      <w:pPr>
        <w:pStyle w:val="2"/>
        <w:rPr>
          <w:lang w:val="en-US"/>
        </w:rPr>
      </w:pPr>
    </w:p>
    <w:p w14:paraId="431E6687">
      <w:pPr>
        <w:jc w:val="center"/>
        <w:rPr>
          <w:rFonts w:ascii="仿宋" w:hAnsi="仿宋" w:eastAsia="仿宋" w:cs="仿宋"/>
          <w:b/>
          <w:bCs/>
          <w:color w:val="000000"/>
          <w:sz w:val="28"/>
          <w:szCs w:val="28"/>
        </w:rPr>
      </w:pPr>
      <w:bookmarkStart w:id="18" w:name="_GoBack"/>
      <w:bookmarkEnd w:id="18"/>
      <w:r>
        <w:rPr>
          <w:rFonts w:hint="eastAsia" w:ascii="仿宋" w:hAnsi="仿宋" w:eastAsia="仿宋" w:cs="仿宋"/>
          <w:b/>
          <w:bCs/>
          <w:color w:val="000000"/>
          <w:sz w:val="28"/>
          <w:szCs w:val="28"/>
        </w:rPr>
        <w:t>六、评审办法</w:t>
      </w:r>
    </w:p>
    <w:p w14:paraId="21801E2C">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本次采购活动采用最低评标价法评审。</w:t>
      </w:r>
    </w:p>
    <w:p w14:paraId="2959A322">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最低评标价法：以价格为主要因素确定成交候选供应商，即在全部满足询价通知书实质性要求，包含资格条件、技术指标及规格、质保期以及询价过程中对以上内容的补充和修改等的前提下，根据各供应商报价由低到高排出成交候选供应商。</w:t>
      </w:r>
    </w:p>
    <w:p w14:paraId="7183EC59">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评审小组在报价截止时间后对收到的合格报价函组织评审，在满足供应商资质要求、符合采购需求、质量和服务等的前提下，以提出最低报价的供应商为成交供应商。所有供应商报价一致的情况下采用随机抽取的方式产生中标商。供应商报价超过采购预算的做废标处理；报名供应商不足三家不开标，做流标处理；实质性响应采购函要求不足三家做废标处理。有其他违法、违规行为的，或在询价过程中，供应商单项报价明显超过市场平均价格，询价小组经评审后一致认定报价不合理的，可以认定其报价无效，做废标处理。供应商须理解合同不一定授予最低价格的供应商。货物参数和服务方案必须完全满足或优于采购标的物需求，否则专家评审时可能会被视为不响应需求。</w:t>
      </w:r>
    </w:p>
    <w:p w14:paraId="0D6843DC">
      <w:pPr>
        <w:pStyle w:val="13"/>
        <w:shd w:val="clear" w:color="auto" w:fill="FFFFFF"/>
        <w:spacing w:before="0" w:beforeAutospacing="0" w:after="0" w:afterAutospacing="0" w:line="22" w:lineRule="atLeast"/>
        <w:jc w:val="center"/>
        <w:rPr>
          <w:rFonts w:ascii="仿宋" w:hAnsi="仿宋" w:eastAsia="仿宋" w:cs="仿宋"/>
          <w:b/>
          <w:bCs/>
          <w:sz w:val="28"/>
          <w:szCs w:val="28"/>
        </w:rPr>
      </w:pPr>
    </w:p>
    <w:p w14:paraId="59C550FD">
      <w:pPr>
        <w:pStyle w:val="13"/>
        <w:shd w:val="clear" w:color="auto" w:fill="FFFFFF"/>
        <w:spacing w:before="0" w:beforeAutospacing="0" w:after="0" w:afterAutospacing="0" w:line="22" w:lineRule="atLeast"/>
        <w:jc w:val="center"/>
        <w:rPr>
          <w:rFonts w:ascii="仿宋" w:hAnsi="仿宋" w:eastAsia="仿宋" w:cs="仿宋"/>
          <w:b/>
          <w:bCs/>
          <w:sz w:val="28"/>
          <w:szCs w:val="28"/>
        </w:rPr>
      </w:pPr>
      <w:r>
        <w:rPr>
          <w:rFonts w:hint="eastAsia" w:ascii="仿宋" w:hAnsi="仿宋" w:eastAsia="仿宋" w:cs="仿宋"/>
          <w:b/>
          <w:bCs/>
          <w:sz w:val="28"/>
          <w:szCs w:val="28"/>
        </w:rPr>
        <w:t>七、供应商报价函（格式）</w:t>
      </w:r>
    </w:p>
    <w:p w14:paraId="53E32D18">
      <w:pPr>
        <w:pStyle w:val="13"/>
        <w:shd w:val="clear" w:color="auto" w:fill="FFFFFF"/>
        <w:spacing w:before="0" w:beforeAutospacing="0" w:after="0" w:afterAutospacing="0" w:line="22" w:lineRule="atLeast"/>
        <w:rPr>
          <w:rFonts w:ascii="仿宋" w:hAnsi="仿宋" w:eastAsia="仿宋" w:cs="仿宋"/>
          <w:sz w:val="28"/>
          <w:szCs w:val="28"/>
        </w:rPr>
      </w:pPr>
      <w:r>
        <w:rPr>
          <w:rFonts w:hint="eastAsia" w:ascii="仿宋" w:hAnsi="仿宋" w:eastAsia="仿宋" w:cs="仿宋"/>
          <w:sz w:val="28"/>
          <w:szCs w:val="28"/>
        </w:rPr>
        <w:t xml:space="preserve">致采购人：XXX            </w:t>
      </w:r>
    </w:p>
    <w:p w14:paraId="59053EBD">
      <w:pPr>
        <w:pStyle w:val="13"/>
        <w:shd w:val="clear" w:color="auto" w:fill="FFFFFF"/>
        <w:spacing w:before="0" w:beforeAutospacing="0" w:after="0" w:afterAutospacing="0" w:line="22" w:lineRule="atLeast"/>
        <w:ind w:firstLine="560" w:firstLineChars="200"/>
        <w:rPr>
          <w:rFonts w:ascii="仿宋" w:hAnsi="仿宋" w:eastAsia="仿宋" w:cs="仿宋"/>
          <w:sz w:val="28"/>
          <w:szCs w:val="28"/>
        </w:rPr>
      </w:pPr>
      <w:r>
        <w:rPr>
          <w:rFonts w:hint="eastAsia" w:ascii="仿宋" w:hAnsi="仿宋" w:eastAsia="仿宋" w:cs="仿宋"/>
          <w:sz w:val="28"/>
          <w:szCs w:val="28"/>
        </w:rPr>
        <w:t>本公司十分高兴收到贵单位编号为             的采购函，我方已研究了该采购函的全部内容，现向贵单位就所采购的标的物做出如下报价：</w:t>
      </w:r>
    </w:p>
    <w:p w14:paraId="432E1344">
      <w:pPr>
        <w:pStyle w:val="13"/>
        <w:shd w:val="clear" w:color="auto" w:fill="FFFFFF"/>
        <w:spacing w:before="0" w:beforeAutospacing="0" w:after="0" w:afterAutospacing="0" w:line="22" w:lineRule="atLeast"/>
        <w:rPr>
          <w:rFonts w:ascii="仿宋" w:hAnsi="仿宋" w:eastAsia="仿宋" w:cs="仿宋"/>
          <w:sz w:val="28"/>
          <w:szCs w:val="28"/>
        </w:rPr>
      </w:pPr>
      <w:r>
        <w:rPr>
          <w:rFonts w:hint="eastAsia" w:ascii="仿宋" w:hAnsi="仿宋" w:eastAsia="仿宋" w:cs="仿宋"/>
          <w:sz w:val="28"/>
          <w:szCs w:val="28"/>
        </w:rPr>
        <w:t>一、责任与义务</w:t>
      </w:r>
    </w:p>
    <w:p w14:paraId="395C74E3">
      <w:pPr>
        <w:pStyle w:val="13"/>
        <w:shd w:val="clear" w:color="auto" w:fill="FFFFFF"/>
        <w:spacing w:before="0" w:beforeAutospacing="0" w:after="0" w:afterAutospacing="0" w:line="22" w:lineRule="atLeast"/>
        <w:ind w:firstLine="560" w:firstLineChars="200"/>
        <w:rPr>
          <w:rFonts w:ascii="仿宋" w:hAnsi="仿宋" w:eastAsia="仿宋" w:cs="仿宋"/>
          <w:sz w:val="28"/>
          <w:szCs w:val="28"/>
        </w:rPr>
      </w:pPr>
      <w:r>
        <w:rPr>
          <w:rFonts w:hint="eastAsia" w:ascii="仿宋" w:hAnsi="仿宋" w:eastAsia="仿宋" w:cs="仿宋"/>
          <w:sz w:val="28"/>
          <w:szCs w:val="28"/>
        </w:rPr>
        <w:t>本公司承诺：</w:t>
      </w:r>
    </w:p>
    <w:p w14:paraId="1540FC5E">
      <w:pPr>
        <w:pStyle w:val="13"/>
        <w:shd w:val="clear" w:color="auto" w:fill="FFFFFF"/>
        <w:spacing w:before="0" w:beforeAutospacing="0" w:after="0" w:afterAutospacing="0" w:line="22" w:lineRule="atLeast"/>
        <w:ind w:firstLine="560" w:firstLineChars="200"/>
        <w:rPr>
          <w:rFonts w:ascii="仿宋" w:hAnsi="仿宋" w:eastAsia="仿宋" w:cs="仿宋"/>
          <w:sz w:val="28"/>
          <w:szCs w:val="28"/>
        </w:rPr>
      </w:pPr>
      <w:r>
        <w:rPr>
          <w:rFonts w:hint="eastAsia" w:ascii="仿宋" w:hAnsi="仿宋" w:eastAsia="仿宋" w:cs="仿宋"/>
          <w:sz w:val="28"/>
          <w:szCs w:val="28"/>
        </w:rPr>
        <w:t>1、本公司的报价函一旦为贵单位认可，该报价即为合同价。包括包装费、装卸费、运保费、安装施工调试费、系统集成费用、人员培训费、技术服务费、售后服务费、税费等检测验收前所有费用；</w:t>
      </w:r>
    </w:p>
    <w:p w14:paraId="3C18FAD4">
      <w:pPr>
        <w:pStyle w:val="13"/>
        <w:shd w:val="clear" w:color="auto" w:fill="FFFFFF"/>
        <w:spacing w:before="0" w:beforeAutospacing="0" w:after="0" w:afterAutospacing="0" w:line="22" w:lineRule="atLeast"/>
        <w:ind w:firstLine="560" w:firstLineChars="200"/>
        <w:rPr>
          <w:rFonts w:ascii="仿宋" w:hAnsi="仿宋" w:eastAsia="仿宋" w:cs="仿宋"/>
          <w:sz w:val="28"/>
          <w:szCs w:val="28"/>
        </w:rPr>
      </w:pPr>
      <w:r>
        <w:rPr>
          <w:rFonts w:hint="eastAsia" w:ascii="仿宋" w:hAnsi="仿宋" w:eastAsia="仿宋" w:cs="仿宋"/>
          <w:sz w:val="28"/>
          <w:szCs w:val="28"/>
        </w:rPr>
        <w:t>2、本公司报价函一经发出，即不可撤回，否则我方愿意接受贵单位的处罚；</w:t>
      </w:r>
    </w:p>
    <w:p w14:paraId="48B67E8D">
      <w:pPr>
        <w:pStyle w:val="13"/>
        <w:shd w:val="clear" w:color="auto" w:fill="FFFFFF"/>
        <w:spacing w:before="0" w:beforeAutospacing="0" w:after="0" w:afterAutospacing="0" w:line="22" w:lineRule="atLeast"/>
        <w:ind w:firstLine="560" w:firstLineChars="200"/>
        <w:rPr>
          <w:rFonts w:ascii="仿宋" w:hAnsi="仿宋" w:eastAsia="仿宋" w:cs="仿宋"/>
          <w:sz w:val="28"/>
          <w:szCs w:val="28"/>
        </w:rPr>
      </w:pPr>
      <w:r>
        <w:rPr>
          <w:rFonts w:hint="eastAsia" w:ascii="仿宋" w:hAnsi="仿宋" w:eastAsia="仿宋" w:cs="仿宋"/>
          <w:sz w:val="28"/>
          <w:szCs w:val="28"/>
        </w:rPr>
        <w:t>3、本公司完全理解本项目合同不一定授予最低报价的供应商。</w:t>
      </w:r>
    </w:p>
    <w:p w14:paraId="0B98B697">
      <w:pPr>
        <w:pStyle w:val="13"/>
        <w:shd w:val="clear" w:color="auto" w:fill="FFFFFF"/>
        <w:spacing w:before="0" w:beforeAutospacing="0" w:after="0" w:afterAutospacing="0" w:line="22" w:lineRule="atLeast"/>
        <w:ind w:firstLine="560" w:firstLineChars="200"/>
        <w:rPr>
          <w:rFonts w:ascii="仿宋" w:hAnsi="仿宋" w:eastAsia="仿宋" w:cs="仿宋"/>
          <w:sz w:val="28"/>
          <w:szCs w:val="28"/>
        </w:rPr>
      </w:pPr>
      <w:r>
        <w:rPr>
          <w:rFonts w:hint="eastAsia" w:ascii="仿宋" w:hAnsi="仿宋" w:eastAsia="仿宋" w:cs="仿宋"/>
          <w:sz w:val="28"/>
          <w:szCs w:val="28"/>
        </w:rPr>
        <w:t>4、本公司一旦有幸中标，完全具备独立完成此项目的能力，严格按照合同履约，不转包分包项目。</w:t>
      </w:r>
    </w:p>
    <w:p w14:paraId="210F923E">
      <w:pPr>
        <w:pStyle w:val="13"/>
        <w:shd w:val="clear" w:color="auto" w:fill="FFFFFF"/>
        <w:spacing w:before="0" w:beforeAutospacing="0" w:after="0" w:afterAutospacing="0" w:line="22" w:lineRule="atLeast"/>
        <w:ind w:firstLine="560" w:firstLineChars="200"/>
        <w:rPr>
          <w:rFonts w:ascii="仿宋" w:hAnsi="仿宋" w:eastAsia="仿宋" w:cs="仿宋"/>
          <w:sz w:val="28"/>
          <w:szCs w:val="28"/>
        </w:rPr>
      </w:pPr>
      <w:r>
        <w:rPr>
          <w:rFonts w:hint="eastAsia" w:ascii="仿宋" w:hAnsi="仿宋" w:eastAsia="仿宋" w:cs="仿宋"/>
          <w:sz w:val="28"/>
          <w:szCs w:val="28"/>
        </w:rPr>
        <w:t>5、本公司满足《中华人民共和国政府采购法》第二十二条之规定。</w:t>
      </w:r>
    </w:p>
    <w:p w14:paraId="44A2CC7B">
      <w:pPr>
        <w:pStyle w:val="13"/>
        <w:shd w:val="clear" w:color="auto" w:fill="FFFFFF"/>
        <w:spacing w:before="0" w:beforeAutospacing="0" w:after="0" w:afterAutospacing="0" w:line="22" w:lineRule="atLeast"/>
        <w:ind w:firstLine="560" w:firstLineChars="200"/>
        <w:rPr>
          <w:rFonts w:ascii="仿宋" w:hAnsi="仿宋" w:eastAsia="仿宋" w:cs="仿宋"/>
          <w:sz w:val="28"/>
          <w:szCs w:val="28"/>
        </w:rPr>
      </w:pPr>
      <w:r>
        <w:rPr>
          <w:rFonts w:hint="eastAsia" w:ascii="仿宋" w:hAnsi="仿宋" w:eastAsia="仿宋" w:cs="仿宋"/>
          <w:sz w:val="28"/>
          <w:szCs w:val="28"/>
        </w:rPr>
        <w:t>6、本公司近三年来参加政府采购活动未被列入失信名单，一经发现或在采购活动中弄虚作假的，自愿承担一切后果，直至追究法律责任。</w:t>
      </w:r>
    </w:p>
    <w:p w14:paraId="1ADD6C90">
      <w:pPr>
        <w:pStyle w:val="13"/>
        <w:shd w:val="clear" w:color="auto" w:fill="FFFFFF"/>
        <w:spacing w:before="0" w:beforeAutospacing="0" w:after="0" w:afterAutospacing="0" w:line="22" w:lineRule="atLeast"/>
        <w:rPr>
          <w:rFonts w:ascii="仿宋" w:hAnsi="仿宋" w:eastAsia="仿宋" w:cs="仿宋"/>
          <w:sz w:val="28"/>
          <w:szCs w:val="28"/>
        </w:rPr>
      </w:pPr>
      <w:r>
        <w:rPr>
          <w:rFonts w:hint="eastAsia" w:ascii="仿宋" w:hAnsi="仿宋" w:eastAsia="仿宋" w:cs="仿宋"/>
          <w:sz w:val="28"/>
          <w:szCs w:val="28"/>
        </w:rPr>
        <w:t>二、货物报价表（服务类项目格式自拟，但须分项报价并完全响应报价）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343"/>
        <w:gridCol w:w="1410"/>
        <w:gridCol w:w="899"/>
        <w:gridCol w:w="1713"/>
        <w:gridCol w:w="1929"/>
      </w:tblGrid>
      <w:tr w14:paraId="0556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l2br w:val="nil"/>
              <w:tr2bl w:val="nil"/>
            </w:tcBorders>
            <w:vAlign w:val="center"/>
          </w:tcPr>
          <w:p w14:paraId="63DF3A44">
            <w:pPr>
              <w:pStyle w:val="13"/>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序号</w:t>
            </w:r>
          </w:p>
        </w:tc>
        <w:tc>
          <w:tcPr>
            <w:tcW w:w="1343" w:type="dxa"/>
            <w:tcBorders>
              <w:tl2br w:val="nil"/>
              <w:tr2bl w:val="nil"/>
            </w:tcBorders>
            <w:vAlign w:val="center"/>
          </w:tcPr>
          <w:p w14:paraId="53B66CCA">
            <w:pPr>
              <w:pStyle w:val="13"/>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货物名称</w:t>
            </w:r>
          </w:p>
        </w:tc>
        <w:tc>
          <w:tcPr>
            <w:tcW w:w="1410" w:type="dxa"/>
            <w:tcBorders>
              <w:tl2br w:val="nil"/>
              <w:tr2bl w:val="nil"/>
            </w:tcBorders>
            <w:vAlign w:val="center"/>
          </w:tcPr>
          <w:p w14:paraId="1379C6DD">
            <w:pPr>
              <w:pStyle w:val="13"/>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品牌型号</w:t>
            </w:r>
          </w:p>
        </w:tc>
        <w:tc>
          <w:tcPr>
            <w:tcW w:w="899" w:type="dxa"/>
            <w:tcBorders>
              <w:tl2br w:val="nil"/>
              <w:tr2bl w:val="nil"/>
            </w:tcBorders>
            <w:vAlign w:val="center"/>
          </w:tcPr>
          <w:p w14:paraId="2F2FBBD8">
            <w:pPr>
              <w:pStyle w:val="13"/>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数量</w:t>
            </w:r>
          </w:p>
        </w:tc>
        <w:tc>
          <w:tcPr>
            <w:tcW w:w="1713" w:type="dxa"/>
            <w:tcBorders>
              <w:tl2br w:val="nil"/>
              <w:tr2bl w:val="nil"/>
            </w:tcBorders>
            <w:vAlign w:val="center"/>
          </w:tcPr>
          <w:p w14:paraId="04D30EDE">
            <w:pPr>
              <w:pStyle w:val="13"/>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单价</w:t>
            </w:r>
          </w:p>
        </w:tc>
        <w:tc>
          <w:tcPr>
            <w:tcW w:w="1929" w:type="dxa"/>
            <w:tcBorders>
              <w:tl2br w:val="nil"/>
              <w:tr2bl w:val="nil"/>
            </w:tcBorders>
            <w:vAlign w:val="center"/>
          </w:tcPr>
          <w:p w14:paraId="6DBC9416">
            <w:pPr>
              <w:pStyle w:val="13"/>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金额（元）</w:t>
            </w:r>
          </w:p>
        </w:tc>
      </w:tr>
      <w:tr w14:paraId="2D53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l2br w:val="nil"/>
              <w:tr2bl w:val="nil"/>
            </w:tcBorders>
            <w:vAlign w:val="center"/>
          </w:tcPr>
          <w:p w14:paraId="2B558AAE">
            <w:pPr>
              <w:pStyle w:val="13"/>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w:t>
            </w:r>
          </w:p>
        </w:tc>
        <w:tc>
          <w:tcPr>
            <w:tcW w:w="1343" w:type="dxa"/>
            <w:tcBorders>
              <w:tl2br w:val="nil"/>
              <w:tr2bl w:val="nil"/>
            </w:tcBorders>
            <w:vAlign w:val="center"/>
          </w:tcPr>
          <w:p w14:paraId="78B978A0">
            <w:pPr>
              <w:pStyle w:val="13"/>
              <w:spacing w:before="0" w:beforeAutospacing="0" w:after="0" w:afterAutospacing="0" w:line="22" w:lineRule="atLeast"/>
              <w:jc w:val="center"/>
              <w:rPr>
                <w:rFonts w:ascii="仿宋" w:hAnsi="仿宋" w:eastAsia="仿宋" w:cs="仿宋"/>
                <w:sz w:val="28"/>
                <w:szCs w:val="28"/>
              </w:rPr>
            </w:pPr>
          </w:p>
        </w:tc>
        <w:tc>
          <w:tcPr>
            <w:tcW w:w="1410" w:type="dxa"/>
            <w:tcBorders>
              <w:tl2br w:val="nil"/>
              <w:tr2bl w:val="nil"/>
            </w:tcBorders>
            <w:vAlign w:val="center"/>
          </w:tcPr>
          <w:p w14:paraId="3141AAA9">
            <w:pPr>
              <w:pStyle w:val="13"/>
              <w:spacing w:before="0" w:beforeAutospacing="0" w:after="0" w:afterAutospacing="0" w:line="22" w:lineRule="atLeast"/>
              <w:jc w:val="center"/>
              <w:rPr>
                <w:rFonts w:ascii="仿宋" w:hAnsi="仿宋" w:eastAsia="仿宋" w:cs="仿宋"/>
                <w:sz w:val="28"/>
                <w:szCs w:val="28"/>
              </w:rPr>
            </w:pPr>
          </w:p>
        </w:tc>
        <w:tc>
          <w:tcPr>
            <w:tcW w:w="899" w:type="dxa"/>
            <w:tcBorders>
              <w:tl2br w:val="nil"/>
              <w:tr2bl w:val="nil"/>
            </w:tcBorders>
            <w:vAlign w:val="center"/>
          </w:tcPr>
          <w:p w14:paraId="4C1A016E">
            <w:pPr>
              <w:pStyle w:val="13"/>
              <w:spacing w:before="0" w:beforeAutospacing="0" w:after="0" w:afterAutospacing="0" w:line="22" w:lineRule="atLeast"/>
              <w:jc w:val="center"/>
              <w:rPr>
                <w:rFonts w:ascii="仿宋" w:hAnsi="仿宋" w:eastAsia="仿宋" w:cs="仿宋"/>
                <w:sz w:val="28"/>
                <w:szCs w:val="28"/>
              </w:rPr>
            </w:pPr>
          </w:p>
        </w:tc>
        <w:tc>
          <w:tcPr>
            <w:tcW w:w="1713" w:type="dxa"/>
            <w:tcBorders>
              <w:tl2br w:val="nil"/>
              <w:tr2bl w:val="nil"/>
            </w:tcBorders>
            <w:vAlign w:val="center"/>
          </w:tcPr>
          <w:p w14:paraId="7CCEB723">
            <w:pPr>
              <w:pStyle w:val="13"/>
              <w:spacing w:before="0" w:beforeAutospacing="0" w:after="0" w:afterAutospacing="0" w:line="22" w:lineRule="atLeast"/>
              <w:jc w:val="center"/>
              <w:rPr>
                <w:rFonts w:ascii="仿宋" w:hAnsi="仿宋" w:eastAsia="仿宋" w:cs="仿宋"/>
                <w:sz w:val="28"/>
                <w:szCs w:val="28"/>
              </w:rPr>
            </w:pPr>
          </w:p>
        </w:tc>
        <w:tc>
          <w:tcPr>
            <w:tcW w:w="1929" w:type="dxa"/>
            <w:tcBorders>
              <w:tl2br w:val="nil"/>
              <w:tr2bl w:val="nil"/>
            </w:tcBorders>
            <w:vAlign w:val="center"/>
          </w:tcPr>
          <w:p w14:paraId="22D2DB4F">
            <w:pPr>
              <w:pStyle w:val="13"/>
              <w:spacing w:before="0" w:beforeAutospacing="0" w:after="0" w:afterAutospacing="0" w:line="22" w:lineRule="atLeast"/>
              <w:jc w:val="center"/>
              <w:rPr>
                <w:rFonts w:ascii="仿宋" w:hAnsi="仿宋" w:eastAsia="仿宋" w:cs="仿宋"/>
                <w:sz w:val="28"/>
                <w:szCs w:val="28"/>
              </w:rPr>
            </w:pPr>
          </w:p>
        </w:tc>
      </w:tr>
      <w:tr w14:paraId="0602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l2br w:val="nil"/>
              <w:tr2bl w:val="nil"/>
            </w:tcBorders>
            <w:vAlign w:val="center"/>
          </w:tcPr>
          <w:p w14:paraId="039D9FF7">
            <w:pPr>
              <w:pStyle w:val="13"/>
              <w:shd w:val="clear" w:color="auto" w:fill="FFFFFF"/>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合 计</w:t>
            </w:r>
          </w:p>
        </w:tc>
        <w:tc>
          <w:tcPr>
            <w:tcW w:w="1343" w:type="dxa"/>
            <w:tcBorders>
              <w:tl2br w:val="nil"/>
              <w:tr2bl w:val="nil"/>
            </w:tcBorders>
            <w:vAlign w:val="center"/>
          </w:tcPr>
          <w:p w14:paraId="5BBBBFCF">
            <w:pPr>
              <w:pStyle w:val="13"/>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大写金额</w:t>
            </w:r>
          </w:p>
        </w:tc>
        <w:tc>
          <w:tcPr>
            <w:tcW w:w="4022" w:type="dxa"/>
            <w:gridSpan w:val="3"/>
            <w:tcBorders>
              <w:tl2br w:val="nil"/>
              <w:tr2bl w:val="nil"/>
            </w:tcBorders>
            <w:vAlign w:val="center"/>
          </w:tcPr>
          <w:p w14:paraId="000E911E">
            <w:pPr>
              <w:pStyle w:val="13"/>
              <w:spacing w:before="0" w:beforeAutospacing="0" w:after="0" w:afterAutospacing="0" w:line="22" w:lineRule="atLeast"/>
              <w:jc w:val="center"/>
              <w:rPr>
                <w:rFonts w:ascii="仿宋" w:hAnsi="仿宋" w:eastAsia="仿宋" w:cs="仿宋"/>
                <w:sz w:val="28"/>
                <w:szCs w:val="28"/>
              </w:rPr>
            </w:pPr>
          </w:p>
        </w:tc>
        <w:tc>
          <w:tcPr>
            <w:tcW w:w="1929" w:type="dxa"/>
            <w:tcBorders>
              <w:tl2br w:val="nil"/>
              <w:tr2bl w:val="nil"/>
            </w:tcBorders>
            <w:vAlign w:val="center"/>
          </w:tcPr>
          <w:p w14:paraId="30B40514">
            <w:pPr>
              <w:pStyle w:val="13"/>
              <w:spacing w:before="0" w:beforeAutospacing="0" w:after="0" w:afterAutospacing="0" w:line="22" w:lineRule="atLeast"/>
              <w:jc w:val="center"/>
              <w:rPr>
                <w:rFonts w:ascii="仿宋" w:hAnsi="仿宋" w:eastAsia="仿宋" w:cs="仿宋"/>
                <w:sz w:val="28"/>
                <w:szCs w:val="28"/>
              </w:rPr>
            </w:pPr>
          </w:p>
        </w:tc>
      </w:tr>
    </w:tbl>
    <w:p w14:paraId="579CA4B6">
      <w:pPr>
        <w:pStyle w:val="13"/>
        <w:numPr>
          <w:ilvl w:val="0"/>
          <w:numId w:val="8"/>
        </w:numPr>
        <w:shd w:val="clear" w:color="auto" w:fill="FFFFFF"/>
        <w:spacing w:before="0" w:beforeAutospacing="0" w:after="0" w:afterAutospacing="0" w:line="22" w:lineRule="atLeast"/>
        <w:rPr>
          <w:rFonts w:ascii="仿宋" w:hAnsi="仿宋" w:eastAsia="仿宋" w:cs="仿宋"/>
          <w:sz w:val="28"/>
          <w:szCs w:val="28"/>
        </w:rPr>
      </w:pPr>
      <w:r>
        <w:rPr>
          <w:rFonts w:hint="eastAsia" w:ascii="仿宋" w:hAnsi="仿宋" w:eastAsia="仿宋" w:cs="仿宋"/>
          <w:sz w:val="28"/>
          <w:szCs w:val="28"/>
        </w:rPr>
        <w:t>标的物响应表（服务类项目格式自拟，但须完全响应服务需求）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717"/>
        <w:gridCol w:w="772"/>
        <w:gridCol w:w="1018"/>
        <w:gridCol w:w="773"/>
        <w:gridCol w:w="705"/>
        <w:gridCol w:w="804"/>
        <w:gridCol w:w="761"/>
        <w:gridCol w:w="867"/>
        <w:gridCol w:w="708"/>
        <w:gridCol w:w="704"/>
      </w:tblGrid>
      <w:tr w14:paraId="5901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gridSpan w:val="5"/>
            <w:tcBorders>
              <w:tl2br w:val="nil"/>
              <w:tr2bl w:val="nil"/>
            </w:tcBorders>
            <w:vAlign w:val="center"/>
          </w:tcPr>
          <w:p w14:paraId="158C5648">
            <w:pPr>
              <w:pStyle w:val="13"/>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采购需求</w:t>
            </w:r>
          </w:p>
        </w:tc>
        <w:tc>
          <w:tcPr>
            <w:tcW w:w="3845" w:type="dxa"/>
            <w:gridSpan w:val="5"/>
            <w:tcBorders>
              <w:tl2br w:val="nil"/>
              <w:tr2bl w:val="nil"/>
            </w:tcBorders>
            <w:vAlign w:val="center"/>
          </w:tcPr>
          <w:p w14:paraId="57F68BAC">
            <w:pPr>
              <w:pStyle w:val="13"/>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投标需求</w:t>
            </w:r>
          </w:p>
        </w:tc>
        <w:tc>
          <w:tcPr>
            <w:tcW w:w="704" w:type="dxa"/>
            <w:tcBorders>
              <w:tl2br w:val="nil"/>
              <w:tr2bl w:val="nil"/>
            </w:tcBorders>
            <w:vAlign w:val="center"/>
          </w:tcPr>
          <w:p w14:paraId="561D688D">
            <w:pPr>
              <w:pStyle w:val="13"/>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响应情况</w:t>
            </w:r>
          </w:p>
        </w:tc>
      </w:tr>
      <w:tr w14:paraId="540B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l2br w:val="nil"/>
              <w:tr2bl w:val="nil"/>
            </w:tcBorders>
            <w:vAlign w:val="center"/>
          </w:tcPr>
          <w:p w14:paraId="15B91607">
            <w:pPr>
              <w:pStyle w:val="13"/>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序号</w:t>
            </w:r>
          </w:p>
        </w:tc>
        <w:tc>
          <w:tcPr>
            <w:tcW w:w="717" w:type="dxa"/>
            <w:tcBorders>
              <w:tl2br w:val="nil"/>
              <w:tr2bl w:val="nil"/>
            </w:tcBorders>
            <w:vAlign w:val="center"/>
          </w:tcPr>
          <w:p w14:paraId="31B16A64">
            <w:pPr>
              <w:pStyle w:val="13"/>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货物名称</w:t>
            </w:r>
          </w:p>
        </w:tc>
        <w:tc>
          <w:tcPr>
            <w:tcW w:w="772" w:type="dxa"/>
            <w:tcBorders>
              <w:tl2br w:val="nil"/>
              <w:tr2bl w:val="nil"/>
            </w:tcBorders>
            <w:vAlign w:val="center"/>
          </w:tcPr>
          <w:p w14:paraId="5077340D">
            <w:pPr>
              <w:pStyle w:val="13"/>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参考品牌</w:t>
            </w:r>
          </w:p>
        </w:tc>
        <w:tc>
          <w:tcPr>
            <w:tcW w:w="1018" w:type="dxa"/>
            <w:tcBorders>
              <w:tl2br w:val="nil"/>
              <w:tr2bl w:val="nil"/>
            </w:tcBorders>
            <w:vAlign w:val="center"/>
          </w:tcPr>
          <w:p w14:paraId="3AE5A46E">
            <w:pPr>
              <w:pStyle w:val="13"/>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详细技术参数</w:t>
            </w:r>
          </w:p>
        </w:tc>
        <w:tc>
          <w:tcPr>
            <w:tcW w:w="773" w:type="dxa"/>
            <w:tcBorders>
              <w:tl2br w:val="nil"/>
              <w:tr2bl w:val="nil"/>
            </w:tcBorders>
            <w:vAlign w:val="center"/>
          </w:tcPr>
          <w:p w14:paraId="296B7D11">
            <w:pPr>
              <w:pStyle w:val="13"/>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数量</w:t>
            </w:r>
          </w:p>
        </w:tc>
        <w:tc>
          <w:tcPr>
            <w:tcW w:w="705" w:type="dxa"/>
            <w:tcBorders>
              <w:tl2br w:val="nil"/>
              <w:tr2bl w:val="nil"/>
            </w:tcBorders>
            <w:vAlign w:val="center"/>
          </w:tcPr>
          <w:p w14:paraId="69D4BC5E">
            <w:pPr>
              <w:pStyle w:val="13"/>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序号</w:t>
            </w:r>
          </w:p>
        </w:tc>
        <w:tc>
          <w:tcPr>
            <w:tcW w:w="804" w:type="dxa"/>
            <w:tcBorders>
              <w:tl2br w:val="nil"/>
              <w:tr2bl w:val="nil"/>
            </w:tcBorders>
            <w:vAlign w:val="center"/>
          </w:tcPr>
          <w:p w14:paraId="57D23428">
            <w:pPr>
              <w:pStyle w:val="13"/>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货物名称</w:t>
            </w:r>
          </w:p>
        </w:tc>
        <w:tc>
          <w:tcPr>
            <w:tcW w:w="761" w:type="dxa"/>
            <w:tcBorders>
              <w:tl2br w:val="nil"/>
              <w:tr2bl w:val="nil"/>
            </w:tcBorders>
            <w:vAlign w:val="center"/>
          </w:tcPr>
          <w:p w14:paraId="0A5AAB3A">
            <w:pPr>
              <w:pStyle w:val="13"/>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品牌型号</w:t>
            </w:r>
          </w:p>
        </w:tc>
        <w:tc>
          <w:tcPr>
            <w:tcW w:w="867" w:type="dxa"/>
            <w:tcBorders>
              <w:tl2br w:val="nil"/>
              <w:tr2bl w:val="nil"/>
            </w:tcBorders>
            <w:vAlign w:val="center"/>
          </w:tcPr>
          <w:p w14:paraId="3488F0F3">
            <w:pPr>
              <w:pStyle w:val="13"/>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详细技术参数</w:t>
            </w:r>
          </w:p>
        </w:tc>
        <w:tc>
          <w:tcPr>
            <w:tcW w:w="708" w:type="dxa"/>
            <w:tcBorders>
              <w:tl2br w:val="nil"/>
              <w:tr2bl w:val="nil"/>
            </w:tcBorders>
            <w:vAlign w:val="center"/>
          </w:tcPr>
          <w:p w14:paraId="51BC44A2">
            <w:pPr>
              <w:pStyle w:val="13"/>
              <w:spacing w:before="0" w:beforeAutospacing="0" w:after="0" w:afterAutospacing="0" w:line="22" w:lineRule="atLeast"/>
              <w:jc w:val="center"/>
              <w:rPr>
                <w:rFonts w:ascii="仿宋" w:hAnsi="仿宋" w:eastAsia="仿宋" w:cs="仿宋"/>
                <w:sz w:val="28"/>
                <w:szCs w:val="28"/>
              </w:rPr>
            </w:pPr>
            <w:r>
              <w:rPr>
                <w:rFonts w:hint="eastAsia" w:ascii="仿宋" w:hAnsi="仿宋" w:eastAsia="仿宋" w:cs="仿宋"/>
                <w:sz w:val="28"/>
                <w:szCs w:val="28"/>
              </w:rPr>
              <w:t>数量</w:t>
            </w:r>
          </w:p>
        </w:tc>
        <w:tc>
          <w:tcPr>
            <w:tcW w:w="704" w:type="dxa"/>
            <w:tcBorders>
              <w:tl2br w:val="nil"/>
              <w:tr2bl w:val="nil"/>
            </w:tcBorders>
            <w:vAlign w:val="center"/>
          </w:tcPr>
          <w:p w14:paraId="50949B19">
            <w:pPr>
              <w:pStyle w:val="13"/>
              <w:spacing w:before="0" w:beforeAutospacing="0" w:after="0" w:afterAutospacing="0" w:line="22" w:lineRule="atLeast"/>
              <w:jc w:val="center"/>
              <w:rPr>
                <w:rFonts w:ascii="仿宋" w:hAnsi="仿宋" w:eastAsia="仿宋" w:cs="仿宋"/>
                <w:sz w:val="28"/>
                <w:szCs w:val="28"/>
              </w:rPr>
            </w:pPr>
          </w:p>
        </w:tc>
      </w:tr>
      <w:tr w14:paraId="5486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l2br w:val="nil"/>
              <w:tr2bl w:val="nil"/>
            </w:tcBorders>
            <w:vAlign w:val="center"/>
          </w:tcPr>
          <w:p w14:paraId="225708CE">
            <w:pPr>
              <w:pStyle w:val="13"/>
              <w:shd w:val="clear" w:color="auto" w:fill="FFFFFF"/>
              <w:spacing w:before="0" w:beforeAutospacing="0" w:after="0" w:afterAutospacing="0" w:line="22" w:lineRule="atLeast"/>
              <w:jc w:val="both"/>
              <w:rPr>
                <w:rFonts w:ascii="仿宋" w:hAnsi="仿宋" w:eastAsia="仿宋" w:cs="仿宋"/>
                <w:sz w:val="28"/>
                <w:szCs w:val="28"/>
              </w:rPr>
            </w:pPr>
            <w:r>
              <w:rPr>
                <w:rFonts w:hint="eastAsia" w:ascii="仿宋" w:hAnsi="仿宋" w:eastAsia="仿宋" w:cs="仿宋"/>
                <w:sz w:val="28"/>
                <w:szCs w:val="28"/>
              </w:rPr>
              <w:t>...</w:t>
            </w:r>
          </w:p>
        </w:tc>
        <w:tc>
          <w:tcPr>
            <w:tcW w:w="717" w:type="dxa"/>
            <w:tcBorders>
              <w:tl2br w:val="nil"/>
              <w:tr2bl w:val="nil"/>
            </w:tcBorders>
            <w:vAlign w:val="center"/>
          </w:tcPr>
          <w:p w14:paraId="333AB3BD">
            <w:pPr>
              <w:pStyle w:val="13"/>
              <w:spacing w:before="0" w:beforeAutospacing="0" w:after="0" w:afterAutospacing="0" w:line="22" w:lineRule="atLeast"/>
              <w:jc w:val="center"/>
              <w:rPr>
                <w:rFonts w:ascii="仿宋" w:hAnsi="仿宋" w:eastAsia="仿宋" w:cs="仿宋"/>
                <w:sz w:val="28"/>
                <w:szCs w:val="28"/>
              </w:rPr>
            </w:pPr>
          </w:p>
        </w:tc>
        <w:tc>
          <w:tcPr>
            <w:tcW w:w="772" w:type="dxa"/>
            <w:tcBorders>
              <w:tl2br w:val="nil"/>
              <w:tr2bl w:val="nil"/>
            </w:tcBorders>
            <w:vAlign w:val="center"/>
          </w:tcPr>
          <w:p w14:paraId="0B3A6FA3">
            <w:pPr>
              <w:pStyle w:val="13"/>
              <w:spacing w:before="0" w:beforeAutospacing="0" w:after="0" w:afterAutospacing="0" w:line="22" w:lineRule="atLeast"/>
              <w:jc w:val="center"/>
              <w:rPr>
                <w:rFonts w:ascii="仿宋" w:hAnsi="仿宋" w:eastAsia="仿宋" w:cs="仿宋"/>
                <w:sz w:val="28"/>
                <w:szCs w:val="28"/>
              </w:rPr>
            </w:pPr>
          </w:p>
        </w:tc>
        <w:tc>
          <w:tcPr>
            <w:tcW w:w="1018" w:type="dxa"/>
            <w:tcBorders>
              <w:tl2br w:val="nil"/>
              <w:tr2bl w:val="nil"/>
            </w:tcBorders>
            <w:vAlign w:val="center"/>
          </w:tcPr>
          <w:p w14:paraId="4D3DF6C6">
            <w:pPr>
              <w:pStyle w:val="13"/>
              <w:spacing w:before="0" w:beforeAutospacing="0" w:after="0" w:afterAutospacing="0" w:line="22" w:lineRule="atLeast"/>
              <w:jc w:val="center"/>
              <w:rPr>
                <w:rFonts w:ascii="仿宋" w:hAnsi="仿宋" w:eastAsia="仿宋" w:cs="仿宋"/>
                <w:sz w:val="28"/>
                <w:szCs w:val="28"/>
              </w:rPr>
            </w:pPr>
          </w:p>
        </w:tc>
        <w:tc>
          <w:tcPr>
            <w:tcW w:w="773" w:type="dxa"/>
            <w:tcBorders>
              <w:tl2br w:val="nil"/>
              <w:tr2bl w:val="nil"/>
            </w:tcBorders>
            <w:vAlign w:val="center"/>
          </w:tcPr>
          <w:p w14:paraId="738FA6C4">
            <w:pPr>
              <w:pStyle w:val="13"/>
              <w:spacing w:before="0" w:beforeAutospacing="0" w:after="0" w:afterAutospacing="0" w:line="22" w:lineRule="atLeast"/>
              <w:jc w:val="center"/>
              <w:rPr>
                <w:rFonts w:ascii="仿宋" w:hAnsi="仿宋" w:eastAsia="仿宋" w:cs="仿宋"/>
                <w:sz w:val="28"/>
                <w:szCs w:val="28"/>
              </w:rPr>
            </w:pPr>
          </w:p>
        </w:tc>
        <w:tc>
          <w:tcPr>
            <w:tcW w:w="705" w:type="dxa"/>
            <w:tcBorders>
              <w:tl2br w:val="nil"/>
              <w:tr2bl w:val="nil"/>
            </w:tcBorders>
            <w:vAlign w:val="center"/>
          </w:tcPr>
          <w:p w14:paraId="556793AB">
            <w:pPr>
              <w:pStyle w:val="13"/>
              <w:spacing w:before="0" w:beforeAutospacing="0" w:after="0" w:afterAutospacing="0" w:line="22" w:lineRule="atLeast"/>
              <w:jc w:val="center"/>
              <w:rPr>
                <w:rFonts w:ascii="仿宋" w:hAnsi="仿宋" w:eastAsia="仿宋" w:cs="仿宋"/>
                <w:sz w:val="28"/>
                <w:szCs w:val="28"/>
              </w:rPr>
            </w:pPr>
          </w:p>
        </w:tc>
        <w:tc>
          <w:tcPr>
            <w:tcW w:w="804" w:type="dxa"/>
            <w:tcBorders>
              <w:tl2br w:val="nil"/>
              <w:tr2bl w:val="nil"/>
            </w:tcBorders>
            <w:vAlign w:val="center"/>
          </w:tcPr>
          <w:p w14:paraId="35791648">
            <w:pPr>
              <w:pStyle w:val="13"/>
              <w:spacing w:before="0" w:beforeAutospacing="0" w:after="0" w:afterAutospacing="0" w:line="22" w:lineRule="atLeast"/>
              <w:jc w:val="center"/>
              <w:rPr>
                <w:rFonts w:ascii="仿宋" w:hAnsi="仿宋" w:eastAsia="仿宋" w:cs="仿宋"/>
                <w:sz w:val="28"/>
                <w:szCs w:val="28"/>
              </w:rPr>
            </w:pPr>
          </w:p>
        </w:tc>
        <w:tc>
          <w:tcPr>
            <w:tcW w:w="761" w:type="dxa"/>
            <w:tcBorders>
              <w:tl2br w:val="nil"/>
              <w:tr2bl w:val="nil"/>
            </w:tcBorders>
            <w:vAlign w:val="center"/>
          </w:tcPr>
          <w:p w14:paraId="5D3B879D">
            <w:pPr>
              <w:pStyle w:val="13"/>
              <w:spacing w:before="0" w:beforeAutospacing="0" w:after="0" w:afterAutospacing="0" w:line="22" w:lineRule="atLeast"/>
              <w:jc w:val="center"/>
              <w:rPr>
                <w:rFonts w:ascii="仿宋" w:hAnsi="仿宋" w:eastAsia="仿宋" w:cs="仿宋"/>
                <w:sz w:val="28"/>
                <w:szCs w:val="28"/>
              </w:rPr>
            </w:pPr>
          </w:p>
        </w:tc>
        <w:tc>
          <w:tcPr>
            <w:tcW w:w="867" w:type="dxa"/>
            <w:tcBorders>
              <w:tl2br w:val="nil"/>
              <w:tr2bl w:val="nil"/>
            </w:tcBorders>
            <w:vAlign w:val="center"/>
          </w:tcPr>
          <w:p w14:paraId="222FB2E3">
            <w:pPr>
              <w:pStyle w:val="13"/>
              <w:spacing w:before="0" w:beforeAutospacing="0" w:after="0" w:afterAutospacing="0" w:line="22" w:lineRule="atLeast"/>
              <w:jc w:val="center"/>
              <w:rPr>
                <w:rFonts w:ascii="仿宋" w:hAnsi="仿宋" w:eastAsia="仿宋" w:cs="仿宋"/>
                <w:sz w:val="28"/>
                <w:szCs w:val="28"/>
              </w:rPr>
            </w:pPr>
          </w:p>
        </w:tc>
        <w:tc>
          <w:tcPr>
            <w:tcW w:w="708" w:type="dxa"/>
            <w:tcBorders>
              <w:tl2br w:val="nil"/>
              <w:tr2bl w:val="nil"/>
            </w:tcBorders>
            <w:vAlign w:val="center"/>
          </w:tcPr>
          <w:p w14:paraId="72A65072">
            <w:pPr>
              <w:pStyle w:val="13"/>
              <w:spacing w:before="0" w:beforeAutospacing="0" w:after="0" w:afterAutospacing="0" w:line="22" w:lineRule="atLeast"/>
              <w:jc w:val="center"/>
              <w:rPr>
                <w:rFonts w:ascii="仿宋" w:hAnsi="仿宋" w:eastAsia="仿宋" w:cs="仿宋"/>
                <w:sz w:val="28"/>
                <w:szCs w:val="28"/>
              </w:rPr>
            </w:pPr>
          </w:p>
        </w:tc>
        <w:tc>
          <w:tcPr>
            <w:tcW w:w="704" w:type="dxa"/>
            <w:tcBorders>
              <w:tl2br w:val="nil"/>
              <w:tr2bl w:val="nil"/>
            </w:tcBorders>
            <w:vAlign w:val="center"/>
          </w:tcPr>
          <w:p w14:paraId="1AB78B4D">
            <w:pPr>
              <w:pStyle w:val="13"/>
              <w:spacing w:before="0" w:beforeAutospacing="0" w:after="0" w:afterAutospacing="0" w:line="22" w:lineRule="atLeast"/>
              <w:jc w:val="center"/>
              <w:rPr>
                <w:rFonts w:ascii="仿宋" w:hAnsi="仿宋" w:eastAsia="仿宋" w:cs="仿宋"/>
                <w:sz w:val="28"/>
                <w:szCs w:val="28"/>
              </w:rPr>
            </w:pPr>
          </w:p>
        </w:tc>
      </w:tr>
      <w:tr w14:paraId="2FBC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l2br w:val="nil"/>
              <w:tr2bl w:val="nil"/>
            </w:tcBorders>
            <w:vAlign w:val="center"/>
          </w:tcPr>
          <w:p w14:paraId="6BD52F29">
            <w:pPr>
              <w:pStyle w:val="13"/>
              <w:shd w:val="clear" w:color="auto" w:fill="FFFFFF"/>
              <w:spacing w:before="0" w:beforeAutospacing="0" w:after="0" w:afterAutospacing="0" w:line="22" w:lineRule="atLeast"/>
              <w:jc w:val="both"/>
              <w:rPr>
                <w:rFonts w:ascii="仿宋" w:hAnsi="仿宋" w:eastAsia="仿宋" w:cs="仿宋"/>
                <w:sz w:val="28"/>
                <w:szCs w:val="28"/>
              </w:rPr>
            </w:pPr>
          </w:p>
        </w:tc>
        <w:tc>
          <w:tcPr>
            <w:tcW w:w="717" w:type="dxa"/>
            <w:tcBorders>
              <w:tl2br w:val="nil"/>
              <w:tr2bl w:val="nil"/>
            </w:tcBorders>
            <w:vAlign w:val="center"/>
          </w:tcPr>
          <w:p w14:paraId="131B25B4">
            <w:pPr>
              <w:pStyle w:val="13"/>
              <w:spacing w:before="0" w:beforeAutospacing="0" w:after="0" w:afterAutospacing="0" w:line="22" w:lineRule="atLeast"/>
              <w:jc w:val="center"/>
              <w:rPr>
                <w:rFonts w:ascii="仿宋" w:hAnsi="仿宋" w:eastAsia="仿宋" w:cs="仿宋"/>
                <w:sz w:val="28"/>
                <w:szCs w:val="28"/>
              </w:rPr>
            </w:pPr>
          </w:p>
        </w:tc>
        <w:tc>
          <w:tcPr>
            <w:tcW w:w="772" w:type="dxa"/>
            <w:tcBorders>
              <w:tl2br w:val="nil"/>
              <w:tr2bl w:val="nil"/>
            </w:tcBorders>
            <w:vAlign w:val="center"/>
          </w:tcPr>
          <w:p w14:paraId="52E5A2F3">
            <w:pPr>
              <w:pStyle w:val="13"/>
              <w:spacing w:before="0" w:beforeAutospacing="0" w:after="0" w:afterAutospacing="0" w:line="22" w:lineRule="atLeast"/>
              <w:jc w:val="center"/>
              <w:rPr>
                <w:rFonts w:ascii="仿宋" w:hAnsi="仿宋" w:eastAsia="仿宋" w:cs="仿宋"/>
                <w:sz w:val="28"/>
                <w:szCs w:val="28"/>
              </w:rPr>
            </w:pPr>
          </w:p>
        </w:tc>
        <w:tc>
          <w:tcPr>
            <w:tcW w:w="1018" w:type="dxa"/>
            <w:tcBorders>
              <w:tl2br w:val="nil"/>
              <w:tr2bl w:val="nil"/>
            </w:tcBorders>
            <w:vAlign w:val="center"/>
          </w:tcPr>
          <w:p w14:paraId="59F15F87">
            <w:pPr>
              <w:pStyle w:val="13"/>
              <w:spacing w:before="0" w:beforeAutospacing="0" w:after="0" w:afterAutospacing="0" w:line="22" w:lineRule="atLeast"/>
              <w:jc w:val="center"/>
              <w:rPr>
                <w:rFonts w:ascii="仿宋" w:hAnsi="仿宋" w:eastAsia="仿宋" w:cs="仿宋"/>
                <w:sz w:val="28"/>
                <w:szCs w:val="28"/>
              </w:rPr>
            </w:pPr>
          </w:p>
        </w:tc>
        <w:tc>
          <w:tcPr>
            <w:tcW w:w="773" w:type="dxa"/>
            <w:tcBorders>
              <w:tl2br w:val="nil"/>
              <w:tr2bl w:val="nil"/>
            </w:tcBorders>
            <w:vAlign w:val="center"/>
          </w:tcPr>
          <w:p w14:paraId="2AA5442D">
            <w:pPr>
              <w:pStyle w:val="13"/>
              <w:spacing w:before="0" w:beforeAutospacing="0" w:after="0" w:afterAutospacing="0" w:line="22" w:lineRule="atLeast"/>
              <w:jc w:val="center"/>
              <w:rPr>
                <w:rFonts w:ascii="仿宋" w:hAnsi="仿宋" w:eastAsia="仿宋" w:cs="仿宋"/>
                <w:sz w:val="28"/>
                <w:szCs w:val="28"/>
              </w:rPr>
            </w:pPr>
          </w:p>
        </w:tc>
        <w:tc>
          <w:tcPr>
            <w:tcW w:w="705" w:type="dxa"/>
            <w:tcBorders>
              <w:tl2br w:val="nil"/>
              <w:tr2bl w:val="nil"/>
            </w:tcBorders>
            <w:vAlign w:val="center"/>
          </w:tcPr>
          <w:p w14:paraId="48433B8C">
            <w:pPr>
              <w:pStyle w:val="13"/>
              <w:spacing w:before="0" w:beforeAutospacing="0" w:after="0" w:afterAutospacing="0" w:line="22" w:lineRule="atLeast"/>
              <w:jc w:val="center"/>
              <w:rPr>
                <w:rFonts w:ascii="仿宋" w:hAnsi="仿宋" w:eastAsia="仿宋" w:cs="仿宋"/>
                <w:sz w:val="28"/>
                <w:szCs w:val="28"/>
              </w:rPr>
            </w:pPr>
          </w:p>
        </w:tc>
        <w:tc>
          <w:tcPr>
            <w:tcW w:w="804" w:type="dxa"/>
            <w:tcBorders>
              <w:tl2br w:val="nil"/>
              <w:tr2bl w:val="nil"/>
            </w:tcBorders>
            <w:vAlign w:val="center"/>
          </w:tcPr>
          <w:p w14:paraId="72D82028">
            <w:pPr>
              <w:pStyle w:val="13"/>
              <w:spacing w:before="0" w:beforeAutospacing="0" w:after="0" w:afterAutospacing="0" w:line="22" w:lineRule="atLeast"/>
              <w:jc w:val="center"/>
              <w:rPr>
                <w:rFonts w:ascii="仿宋" w:hAnsi="仿宋" w:eastAsia="仿宋" w:cs="仿宋"/>
                <w:sz w:val="28"/>
                <w:szCs w:val="28"/>
              </w:rPr>
            </w:pPr>
          </w:p>
        </w:tc>
        <w:tc>
          <w:tcPr>
            <w:tcW w:w="761" w:type="dxa"/>
            <w:tcBorders>
              <w:tl2br w:val="nil"/>
              <w:tr2bl w:val="nil"/>
            </w:tcBorders>
            <w:vAlign w:val="center"/>
          </w:tcPr>
          <w:p w14:paraId="42937FC8">
            <w:pPr>
              <w:pStyle w:val="13"/>
              <w:spacing w:before="0" w:beforeAutospacing="0" w:after="0" w:afterAutospacing="0" w:line="22" w:lineRule="atLeast"/>
              <w:jc w:val="center"/>
              <w:rPr>
                <w:rFonts w:ascii="仿宋" w:hAnsi="仿宋" w:eastAsia="仿宋" w:cs="仿宋"/>
                <w:sz w:val="28"/>
                <w:szCs w:val="28"/>
              </w:rPr>
            </w:pPr>
          </w:p>
        </w:tc>
        <w:tc>
          <w:tcPr>
            <w:tcW w:w="867" w:type="dxa"/>
            <w:tcBorders>
              <w:tl2br w:val="nil"/>
              <w:tr2bl w:val="nil"/>
            </w:tcBorders>
            <w:vAlign w:val="center"/>
          </w:tcPr>
          <w:p w14:paraId="3E755A02">
            <w:pPr>
              <w:pStyle w:val="13"/>
              <w:spacing w:before="0" w:beforeAutospacing="0" w:after="0" w:afterAutospacing="0" w:line="22" w:lineRule="atLeast"/>
              <w:jc w:val="center"/>
              <w:rPr>
                <w:rFonts w:ascii="仿宋" w:hAnsi="仿宋" w:eastAsia="仿宋" w:cs="仿宋"/>
                <w:sz w:val="28"/>
                <w:szCs w:val="28"/>
              </w:rPr>
            </w:pPr>
          </w:p>
        </w:tc>
        <w:tc>
          <w:tcPr>
            <w:tcW w:w="708" w:type="dxa"/>
            <w:tcBorders>
              <w:tl2br w:val="nil"/>
              <w:tr2bl w:val="nil"/>
            </w:tcBorders>
            <w:vAlign w:val="center"/>
          </w:tcPr>
          <w:p w14:paraId="7604AEDB">
            <w:pPr>
              <w:pStyle w:val="13"/>
              <w:spacing w:before="0" w:beforeAutospacing="0" w:after="0" w:afterAutospacing="0" w:line="22" w:lineRule="atLeast"/>
              <w:jc w:val="center"/>
              <w:rPr>
                <w:rFonts w:ascii="仿宋" w:hAnsi="仿宋" w:eastAsia="仿宋" w:cs="仿宋"/>
                <w:sz w:val="28"/>
                <w:szCs w:val="28"/>
              </w:rPr>
            </w:pPr>
          </w:p>
        </w:tc>
        <w:tc>
          <w:tcPr>
            <w:tcW w:w="704" w:type="dxa"/>
            <w:tcBorders>
              <w:tl2br w:val="nil"/>
              <w:tr2bl w:val="nil"/>
            </w:tcBorders>
            <w:vAlign w:val="center"/>
          </w:tcPr>
          <w:p w14:paraId="2980CE71">
            <w:pPr>
              <w:pStyle w:val="13"/>
              <w:spacing w:before="0" w:beforeAutospacing="0" w:after="0" w:afterAutospacing="0" w:line="22" w:lineRule="atLeast"/>
              <w:jc w:val="center"/>
              <w:rPr>
                <w:rFonts w:ascii="仿宋" w:hAnsi="仿宋" w:eastAsia="仿宋" w:cs="仿宋"/>
                <w:sz w:val="28"/>
                <w:szCs w:val="28"/>
              </w:rPr>
            </w:pPr>
          </w:p>
        </w:tc>
      </w:tr>
    </w:tbl>
    <w:p w14:paraId="77DD9C7D">
      <w:pPr>
        <w:pStyle w:val="13"/>
        <w:shd w:val="clear" w:color="auto" w:fill="FFFFFF"/>
        <w:spacing w:before="0" w:beforeAutospacing="0" w:after="0" w:afterAutospacing="0" w:line="22" w:lineRule="atLeast"/>
        <w:rPr>
          <w:rFonts w:ascii="仿宋" w:hAnsi="仿宋" w:eastAsia="仿宋" w:cs="仿宋"/>
          <w:sz w:val="28"/>
          <w:szCs w:val="28"/>
        </w:rPr>
      </w:pPr>
      <w:r>
        <w:rPr>
          <w:rFonts w:hint="eastAsia" w:ascii="仿宋" w:hAnsi="仿宋" w:eastAsia="仿宋" w:cs="仿宋"/>
          <w:sz w:val="28"/>
          <w:szCs w:val="28"/>
        </w:rPr>
        <w:t>四、交货及免费质保期</w:t>
      </w:r>
    </w:p>
    <w:p w14:paraId="40B45974">
      <w:pPr>
        <w:pStyle w:val="13"/>
        <w:shd w:val="clear" w:color="auto" w:fill="FFFFFF"/>
        <w:spacing w:before="0" w:beforeAutospacing="0" w:after="0" w:afterAutospacing="0" w:line="22" w:lineRule="atLeast"/>
        <w:ind w:firstLine="560" w:firstLineChars="200"/>
        <w:rPr>
          <w:rFonts w:ascii="仿宋" w:hAnsi="仿宋" w:eastAsia="仿宋" w:cs="仿宋"/>
          <w:sz w:val="28"/>
          <w:szCs w:val="28"/>
        </w:rPr>
      </w:pPr>
      <w:r>
        <w:rPr>
          <w:rFonts w:hint="eastAsia" w:ascii="仿宋" w:hAnsi="仿宋" w:eastAsia="仿宋" w:cs="仿宋"/>
          <w:sz w:val="28"/>
          <w:szCs w:val="28"/>
        </w:rPr>
        <w:t>合同签订后，      日供货；免费质保期         。</w:t>
      </w:r>
    </w:p>
    <w:p w14:paraId="310BA129">
      <w:pPr>
        <w:pStyle w:val="13"/>
        <w:shd w:val="clear" w:color="auto" w:fill="FFFFFF"/>
        <w:spacing w:before="0" w:beforeAutospacing="0" w:after="0" w:afterAutospacing="0" w:line="22" w:lineRule="atLeast"/>
        <w:rPr>
          <w:rFonts w:ascii="仿宋" w:hAnsi="仿宋" w:eastAsia="仿宋" w:cs="仿宋"/>
          <w:sz w:val="28"/>
          <w:szCs w:val="28"/>
        </w:rPr>
      </w:pPr>
      <w:r>
        <w:rPr>
          <w:rFonts w:hint="eastAsia" w:ascii="仿宋" w:hAnsi="仿宋" w:eastAsia="仿宋" w:cs="仿宋"/>
          <w:sz w:val="28"/>
          <w:szCs w:val="28"/>
        </w:rPr>
        <w:t>五、须提交的相关资信证明</w:t>
      </w:r>
    </w:p>
    <w:p w14:paraId="4796E625">
      <w:pPr>
        <w:pStyle w:val="13"/>
        <w:shd w:val="clear" w:color="auto" w:fill="FFFFFF"/>
        <w:spacing w:before="0" w:beforeAutospacing="0" w:after="0" w:afterAutospacing="0" w:line="22" w:lineRule="atLeast"/>
        <w:ind w:firstLine="560" w:firstLineChars="200"/>
        <w:rPr>
          <w:rFonts w:ascii="仿宋" w:hAnsi="仿宋" w:eastAsia="仿宋" w:cs="仿宋"/>
          <w:sz w:val="28"/>
          <w:szCs w:val="28"/>
        </w:rPr>
      </w:pPr>
      <w:r>
        <w:rPr>
          <w:rFonts w:hint="eastAsia" w:ascii="仿宋" w:hAnsi="仿宋" w:eastAsia="仿宋" w:cs="仿宋"/>
          <w:sz w:val="28"/>
          <w:szCs w:val="28"/>
        </w:rPr>
        <w:t>1、 营业执照（年审合格）影印件盖章；</w:t>
      </w:r>
    </w:p>
    <w:p w14:paraId="78E46498">
      <w:pPr>
        <w:pStyle w:val="13"/>
        <w:shd w:val="clear" w:color="auto" w:fill="FFFFFF"/>
        <w:spacing w:before="0" w:beforeAutospacing="0" w:after="0" w:afterAutospacing="0" w:line="22" w:lineRule="atLeast"/>
        <w:ind w:firstLine="560" w:firstLineChars="200"/>
        <w:rPr>
          <w:rFonts w:ascii="仿宋" w:hAnsi="仿宋" w:eastAsia="仿宋" w:cs="仿宋"/>
          <w:sz w:val="28"/>
          <w:szCs w:val="28"/>
        </w:rPr>
      </w:pPr>
      <w:r>
        <w:rPr>
          <w:rFonts w:hint="eastAsia" w:ascii="仿宋" w:hAnsi="仿宋" w:eastAsia="仿宋" w:cs="仿宋"/>
          <w:sz w:val="28"/>
          <w:szCs w:val="28"/>
        </w:rPr>
        <w:t>2、 法人资格证明或法人授权委托书；</w:t>
      </w:r>
    </w:p>
    <w:p w14:paraId="0B7FA304">
      <w:pPr>
        <w:pStyle w:val="13"/>
        <w:shd w:val="clear" w:color="auto" w:fill="FFFFFF"/>
        <w:spacing w:before="0" w:beforeAutospacing="0" w:after="0" w:afterAutospacing="0" w:line="22" w:lineRule="atLeast"/>
        <w:ind w:firstLine="560" w:firstLineChars="200"/>
        <w:rPr>
          <w:rFonts w:ascii="仿宋" w:hAnsi="仿宋" w:eastAsia="仿宋" w:cs="仿宋"/>
          <w:sz w:val="28"/>
          <w:szCs w:val="28"/>
        </w:rPr>
      </w:pPr>
      <w:r>
        <w:rPr>
          <w:rFonts w:hint="eastAsia" w:ascii="仿宋" w:hAnsi="仿宋" w:eastAsia="仿宋" w:cs="仿宋"/>
          <w:sz w:val="28"/>
          <w:szCs w:val="28"/>
        </w:rPr>
        <w:t>3、 货物参数或详细服务方案响应表；</w:t>
      </w:r>
    </w:p>
    <w:p w14:paraId="6992B283">
      <w:pPr>
        <w:pStyle w:val="13"/>
        <w:shd w:val="clear" w:color="auto" w:fill="FFFFFF"/>
        <w:spacing w:before="0" w:beforeAutospacing="0" w:after="0" w:afterAutospacing="0" w:line="22" w:lineRule="atLeast"/>
        <w:ind w:firstLine="560" w:firstLineChars="200"/>
        <w:rPr>
          <w:rFonts w:ascii="仿宋" w:hAnsi="仿宋" w:eastAsia="仿宋" w:cs="仿宋"/>
          <w:sz w:val="28"/>
          <w:szCs w:val="28"/>
        </w:rPr>
      </w:pPr>
      <w:r>
        <w:rPr>
          <w:rFonts w:hint="eastAsia" w:ascii="仿宋" w:hAnsi="仿宋" w:eastAsia="仿宋" w:cs="仿宋"/>
          <w:sz w:val="28"/>
          <w:szCs w:val="28"/>
        </w:rPr>
        <w:t>4、 要求提供的售后服务等承诺函；</w:t>
      </w:r>
    </w:p>
    <w:p w14:paraId="2F39C18B">
      <w:pPr>
        <w:pStyle w:val="13"/>
        <w:shd w:val="clear" w:color="auto" w:fill="FFFFFF"/>
        <w:spacing w:before="0" w:beforeAutospacing="0" w:after="0" w:afterAutospacing="0" w:line="22" w:lineRule="atLeast"/>
        <w:ind w:firstLine="560" w:firstLineChars="200"/>
        <w:rPr>
          <w:rFonts w:ascii="仿宋" w:hAnsi="仿宋" w:eastAsia="仿宋" w:cs="仿宋"/>
          <w:sz w:val="28"/>
          <w:szCs w:val="28"/>
        </w:rPr>
      </w:pPr>
      <w:r>
        <w:rPr>
          <w:rFonts w:hint="eastAsia" w:ascii="仿宋" w:hAnsi="仿宋" w:eastAsia="仿宋" w:cs="仿宋"/>
          <w:sz w:val="28"/>
          <w:szCs w:val="28"/>
        </w:rPr>
        <w:t>5、 招标公告要求提供的其他资质证明文件。</w:t>
      </w:r>
    </w:p>
    <w:p w14:paraId="45053C12">
      <w:pPr>
        <w:pStyle w:val="13"/>
        <w:shd w:val="clear" w:color="auto" w:fill="FFFFFF"/>
        <w:spacing w:before="0" w:beforeAutospacing="0" w:after="0" w:afterAutospacing="0" w:line="22" w:lineRule="atLeast"/>
        <w:ind w:firstLine="3920" w:firstLineChars="1400"/>
        <w:rPr>
          <w:rFonts w:ascii="仿宋" w:hAnsi="仿宋" w:eastAsia="仿宋" w:cs="仿宋"/>
          <w:color w:val="000000"/>
          <w:sz w:val="28"/>
          <w:szCs w:val="28"/>
        </w:rPr>
      </w:pPr>
      <w:r>
        <w:rPr>
          <w:rFonts w:hint="eastAsia" w:ascii="仿宋" w:hAnsi="仿宋" w:eastAsia="仿宋" w:cs="仿宋"/>
          <w:sz w:val="28"/>
          <w:szCs w:val="28"/>
        </w:rPr>
        <w:t>（公司盖章）     年  月  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简标宋">
    <w:altName w:val="宋体"/>
    <w:panose1 w:val="00000000000000000000"/>
    <w:charset w:val="86"/>
    <w:family w:val="auto"/>
    <w:pitch w:val="default"/>
    <w:sig w:usb0="00000000" w:usb1="00000000" w:usb2="00000010" w:usb3="00000000" w:csb0="00040000" w:csb1="00000000"/>
  </w:font>
  <w:font w:name="@hakuyoxingshu7000">
    <w:altName w:val="ksdb"/>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D450C">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A144B02">
                          <w:pPr>
                            <w:pStyle w:val="11"/>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OKNRAnZAQAArgMAAA4AAAAAAAAA&#10;AQAgAAAAIgEAAGRycy9lMm9Eb2MueG1sUEsFBgAAAAAGAAYAWQEAAG0FAAAAAA==&#10;">
              <v:fill on="f" focussize="0,0"/>
              <v:stroke on="f" weight="1.25pt"/>
              <v:imagedata o:title=""/>
              <o:lock v:ext="edit" aspectratio="f"/>
              <v:textbox inset="0mm,0mm,0mm,0mm" style="mso-fit-shape-to-text:t;">
                <w:txbxContent>
                  <w:p w14:paraId="7A144B02">
                    <w:pPr>
                      <w:pStyle w:val="11"/>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1F8B7"/>
    <w:multiLevelType w:val="singleLevel"/>
    <w:tmpl w:val="86E1F8B7"/>
    <w:lvl w:ilvl="0" w:tentative="0">
      <w:start w:val="3"/>
      <w:numFmt w:val="chineseCounting"/>
      <w:suff w:val="nothing"/>
      <w:lvlText w:val="%1、"/>
      <w:lvlJc w:val="left"/>
      <w:rPr>
        <w:rFonts w:hint="eastAsia"/>
      </w:rPr>
    </w:lvl>
  </w:abstractNum>
  <w:abstractNum w:abstractNumId="1">
    <w:nsid w:val="10623B07"/>
    <w:multiLevelType w:val="multilevel"/>
    <w:tmpl w:val="10623B07"/>
    <w:lvl w:ilvl="0" w:tentative="0">
      <w:start w:val="1"/>
      <w:numFmt w:val="decimal"/>
      <w:lvlText w:val="%1."/>
      <w:lvlJc w:val="left"/>
      <w:pPr>
        <w:ind w:left="902" w:hanging="420"/>
      </w:pPr>
    </w:lvl>
    <w:lvl w:ilvl="1" w:tentative="0">
      <w:start w:val="1"/>
      <w:numFmt w:val="decimal"/>
      <w:lvlText w:val="%2）"/>
      <w:lvlJc w:val="left"/>
      <w:pPr>
        <w:ind w:left="1622" w:hanging="720"/>
      </w:pPr>
      <w:rPr>
        <w:rFonts w:hint="default"/>
      </w:rPr>
    </w:lvl>
    <w:lvl w:ilvl="2" w:tentative="0">
      <w:start w:val="1"/>
      <w:numFmt w:val="decimal"/>
      <w:lvlText w:val="（%3）"/>
      <w:lvlJc w:val="left"/>
      <w:pPr>
        <w:ind w:left="2042" w:hanging="720"/>
      </w:pPr>
      <w:rPr>
        <w:rFonts w:hint="default" w:cs="宋体"/>
        <w:color w:val="000000"/>
        <w:sz w:val="24"/>
      </w:rPr>
    </w:lvl>
    <w:lvl w:ilvl="3" w:tentative="0">
      <w:start w:val="1"/>
      <w:numFmt w:val="decimal"/>
      <w:lvlText w:val="%4)"/>
      <w:lvlJc w:val="left"/>
      <w:pPr>
        <w:ind w:left="2102" w:hanging="360"/>
      </w:pPr>
      <w:rPr>
        <w:rFonts w:hint="default"/>
      </w:r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1AB721A7"/>
    <w:multiLevelType w:val="multilevel"/>
    <w:tmpl w:val="1AB721A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7C6F72"/>
    <w:multiLevelType w:val="multilevel"/>
    <w:tmpl w:val="2B7C6F72"/>
    <w:lvl w:ilvl="0" w:tentative="0">
      <w:start w:val="1"/>
      <w:numFmt w:val="decimal"/>
      <w:lvlText w:val="%1)"/>
      <w:lvlJc w:val="left"/>
      <w:pPr>
        <w:ind w:left="980" w:hanging="420"/>
      </w:pPr>
    </w:lvl>
    <w:lvl w:ilvl="1" w:tentative="0">
      <w:start w:val="1"/>
      <w:numFmt w:val="decimal"/>
      <w:lvlText w:val="%2)"/>
      <w:lvlJc w:val="left"/>
      <w:pPr>
        <w:ind w:left="845" w:hanging="420"/>
      </w:pPr>
    </w:lvl>
    <w:lvl w:ilvl="2" w:tentative="0">
      <w:start w:val="1"/>
      <w:numFmt w:val="decimal"/>
      <w:lvlText w:val="%3）"/>
      <w:lvlJc w:val="left"/>
      <w:pPr>
        <w:ind w:left="1003" w:hanging="720"/>
      </w:pPr>
      <w:rPr>
        <w:rFonts w:hint="eastAsia"/>
      </w:r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40D14FC7"/>
    <w:multiLevelType w:val="multilevel"/>
    <w:tmpl w:val="40D14FC7"/>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5268191F"/>
    <w:multiLevelType w:val="multilevel"/>
    <w:tmpl w:val="5268191F"/>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
    <w:nsid w:val="5B11737B"/>
    <w:multiLevelType w:val="multilevel"/>
    <w:tmpl w:val="5B11737B"/>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5C5D2D32"/>
    <w:multiLevelType w:val="multilevel"/>
    <w:tmpl w:val="5C5D2D32"/>
    <w:lvl w:ilvl="0" w:tentative="0">
      <w:start w:val="1"/>
      <w:numFmt w:val="decimal"/>
      <w:lvlText w:val="%1)"/>
      <w:lvlJc w:val="left"/>
      <w:pPr>
        <w:ind w:left="980" w:hanging="420"/>
      </w:pPr>
    </w:lvl>
    <w:lvl w:ilvl="1" w:tentative="0">
      <w:start w:val="1"/>
      <w:numFmt w:val="decimal"/>
      <w:lvlText w:val="%2)"/>
      <w:lvlJc w:val="left"/>
      <w:pPr>
        <w:ind w:left="845" w:hanging="420"/>
      </w:pPr>
    </w:lvl>
    <w:lvl w:ilvl="2" w:tentative="0">
      <w:start w:val="1"/>
      <w:numFmt w:val="decimal"/>
      <w:lvlText w:val="%3）"/>
      <w:lvlJc w:val="left"/>
      <w:pPr>
        <w:ind w:left="1003" w:hanging="720"/>
      </w:pPr>
      <w:rPr>
        <w:rFonts w:hint="eastAsia"/>
      </w:r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7"/>
  </w:num>
  <w:num w:numId="4">
    <w:abstractNumId w:val="4"/>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4F01"/>
    <w:rsid w:val="00092381"/>
    <w:rsid w:val="00120C65"/>
    <w:rsid w:val="00172A27"/>
    <w:rsid w:val="00192448"/>
    <w:rsid w:val="001940B7"/>
    <w:rsid w:val="00206E87"/>
    <w:rsid w:val="00266307"/>
    <w:rsid w:val="0027437E"/>
    <w:rsid w:val="002F2DDA"/>
    <w:rsid w:val="00310E85"/>
    <w:rsid w:val="003361C8"/>
    <w:rsid w:val="00356721"/>
    <w:rsid w:val="0044418F"/>
    <w:rsid w:val="004E7995"/>
    <w:rsid w:val="00512D8A"/>
    <w:rsid w:val="0051512D"/>
    <w:rsid w:val="00662D6B"/>
    <w:rsid w:val="00684E4B"/>
    <w:rsid w:val="006B4979"/>
    <w:rsid w:val="00716C18"/>
    <w:rsid w:val="0078112A"/>
    <w:rsid w:val="007D2927"/>
    <w:rsid w:val="00871D46"/>
    <w:rsid w:val="009A18A5"/>
    <w:rsid w:val="009F796F"/>
    <w:rsid w:val="00B601F7"/>
    <w:rsid w:val="00C204C1"/>
    <w:rsid w:val="00C5387C"/>
    <w:rsid w:val="00E41AAE"/>
    <w:rsid w:val="00E72FFF"/>
    <w:rsid w:val="00EB1E64"/>
    <w:rsid w:val="00F63942"/>
    <w:rsid w:val="02245BAB"/>
    <w:rsid w:val="023E3D93"/>
    <w:rsid w:val="02581DA3"/>
    <w:rsid w:val="0259166D"/>
    <w:rsid w:val="025F7222"/>
    <w:rsid w:val="02FD0EE3"/>
    <w:rsid w:val="04270942"/>
    <w:rsid w:val="04541081"/>
    <w:rsid w:val="04EA4170"/>
    <w:rsid w:val="083A35AF"/>
    <w:rsid w:val="09D219CE"/>
    <w:rsid w:val="0BFA3097"/>
    <w:rsid w:val="0C08057A"/>
    <w:rsid w:val="0F7B200D"/>
    <w:rsid w:val="0FD85C8D"/>
    <w:rsid w:val="116746F0"/>
    <w:rsid w:val="11F710CC"/>
    <w:rsid w:val="134D57EC"/>
    <w:rsid w:val="14346CCF"/>
    <w:rsid w:val="163743C8"/>
    <w:rsid w:val="19923B76"/>
    <w:rsid w:val="19E0594A"/>
    <w:rsid w:val="1C2E31FF"/>
    <w:rsid w:val="1C55199D"/>
    <w:rsid w:val="1D074ADD"/>
    <w:rsid w:val="1D2467F0"/>
    <w:rsid w:val="1D4532ED"/>
    <w:rsid w:val="1DC6102D"/>
    <w:rsid w:val="1E4F0530"/>
    <w:rsid w:val="1FD85ADD"/>
    <w:rsid w:val="2047285A"/>
    <w:rsid w:val="21462E9E"/>
    <w:rsid w:val="21842780"/>
    <w:rsid w:val="22B158A7"/>
    <w:rsid w:val="22BA5AC4"/>
    <w:rsid w:val="230A79B3"/>
    <w:rsid w:val="24863F35"/>
    <w:rsid w:val="25052B5A"/>
    <w:rsid w:val="250E2709"/>
    <w:rsid w:val="259B3C6D"/>
    <w:rsid w:val="25B64E1E"/>
    <w:rsid w:val="25B82A6C"/>
    <w:rsid w:val="25CA3FD3"/>
    <w:rsid w:val="27031893"/>
    <w:rsid w:val="27921897"/>
    <w:rsid w:val="28B665C3"/>
    <w:rsid w:val="2CBA0066"/>
    <w:rsid w:val="2D496056"/>
    <w:rsid w:val="2D5776A2"/>
    <w:rsid w:val="2EAE5733"/>
    <w:rsid w:val="2ED03B77"/>
    <w:rsid w:val="33D65F11"/>
    <w:rsid w:val="340B0C1B"/>
    <w:rsid w:val="357D4466"/>
    <w:rsid w:val="3594031A"/>
    <w:rsid w:val="37B861C2"/>
    <w:rsid w:val="38F27571"/>
    <w:rsid w:val="3A285657"/>
    <w:rsid w:val="3A294122"/>
    <w:rsid w:val="3C7F6E65"/>
    <w:rsid w:val="3D0E05E5"/>
    <w:rsid w:val="3D7864D3"/>
    <w:rsid w:val="3E8800F9"/>
    <w:rsid w:val="405C6EC1"/>
    <w:rsid w:val="410B008F"/>
    <w:rsid w:val="42C03E80"/>
    <w:rsid w:val="45F873B5"/>
    <w:rsid w:val="46AF0EEF"/>
    <w:rsid w:val="49A92FBE"/>
    <w:rsid w:val="4A5520A3"/>
    <w:rsid w:val="4A680516"/>
    <w:rsid w:val="4AFB0BA5"/>
    <w:rsid w:val="4BAB1254"/>
    <w:rsid w:val="4D341C73"/>
    <w:rsid w:val="54144525"/>
    <w:rsid w:val="5A0F7FD9"/>
    <w:rsid w:val="5B5F0CB0"/>
    <w:rsid w:val="5D4004CB"/>
    <w:rsid w:val="5E500EF8"/>
    <w:rsid w:val="5ED36A1D"/>
    <w:rsid w:val="5F406A07"/>
    <w:rsid w:val="60F16510"/>
    <w:rsid w:val="61957B8A"/>
    <w:rsid w:val="62AB7E9B"/>
    <w:rsid w:val="636D2C3E"/>
    <w:rsid w:val="64E35B0E"/>
    <w:rsid w:val="66651CCA"/>
    <w:rsid w:val="687A28C9"/>
    <w:rsid w:val="690E0556"/>
    <w:rsid w:val="694D69BB"/>
    <w:rsid w:val="69AB1BDD"/>
    <w:rsid w:val="6A6C2239"/>
    <w:rsid w:val="6B686FF7"/>
    <w:rsid w:val="6CC77037"/>
    <w:rsid w:val="6DAA0B4E"/>
    <w:rsid w:val="6DFB207B"/>
    <w:rsid w:val="7049634F"/>
    <w:rsid w:val="70EE1DA1"/>
    <w:rsid w:val="714C5C4D"/>
    <w:rsid w:val="71E2462E"/>
    <w:rsid w:val="720C0AC7"/>
    <w:rsid w:val="72EC747D"/>
    <w:rsid w:val="751165B1"/>
    <w:rsid w:val="75765540"/>
    <w:rsid w:val="75E16426"/>
    <w:rsid w:val="76913376"/>
    <w:rsid w:val="786B3DF3"/>
    <w:rsid w:val="7ACF0183"/>
    <w:rsid w:val="7E7508A1"/>
    <w:rsid w:val="7EB16FCA"/>
    <w:rsid w:val="7FF94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after="260" w:line="413" w:lineRule="auto"/>
      <w:jc w:val="center"/>
      <w:outlineLvl w:val="1"/>
    </w:pPr>
    <w:rPr>
      <w:rFonts w:ascii="Arial" w:hAnsi="Arial"/>
      <w:b/>
      <w:sz w:val="28"/>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微软简标宋" w:hAnsi="@微软简标宋" w:eastAsia="@微软简标宋" w:cs="@微软简标宋"/>
      <w:szCs w:val="24"/>
      <w:lang w:val="zh-CN"/>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able of authorities"/>
    <w:basedOn w:val="1"/>
    <w:next w:val="1"/>
    <w:unhideWhenUsed/>
    <w:qFormat/>
    <w:uiPriority w:val="99"/>
    <w:pPr>
      <w:ind w:left="420" w:leftChars="200"/>
    </w:pPr>
  </w:style>
  <w:style w:type="paragraph" w:styleId="8">
    <w:name w:val="Normal Indent"/>
    <w:basedOn w:val="1"/>
    <w:qFormat/>
    <w:uiPriority w:val="0"/>
    <w:pPr>
      <w:autoSpaceDE w:val="0"/>
      <w:autoSpaceDN w:val="0"/>
      <w:adjustRightInd w:val="0"/>
      <w:ind w:firstLine="420"/>
      <w:jc w:val="left"/>
    </w:pPr>
    <w:rPr>
      <w:rFonts w:ascii="宋体"/>
      <w:kern w:val="0"/>
      <w:sz w:val="24"/>
      <w:szCs w:val="20"/>
    </w:rPr>
  </w:style>
  <w:style w:type="paragraph" w:styleId="9">
    <w:name w:val="annotation text"/>
    <w:basedOn w:val="1"/>
    <w:qFormat/>
    <w:uiPriority w:val="0"/>
    <w:pPr>
      <w:jc w:val="left"/>
    </w:pPr>
  </w:style>
  <w:style w:type="paragraph" w:styleId="10">
    <w:name w:val="Body Text Indent"/>
    <w:basedOn w:val="1"/>
    <w:qFormat/>
    <w:uiPriority w:val="0"/>
    <w:pPr>
      <w:spacing w:after="120"/>
      <w:ind w:left="42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Body Text First Indent"/>
    <w:basedOn w:val="2"/>
    <w:next w:val="1"/>
    <w:qFormat/>
    <w:uiPriority w:val="99"/>
    <w:pPr>
      <w:ind w:firstLine="420" w:firstLineChars="100"/>
    </w:pPr>
    <w:rPr>
      <w:rFonts w:ascii="微软雅黑" w:hAnsi="微软雅黑" w:eastAsia="微软雅黑" w:cs="微软雅黑"/>
      <w:szCs w:val="21"/>
    </w:rPr>
  </w:style>
  <w:style w:type="paragraph" w:styleId="15">
    <w:name w:val="Body Text First Indent 2"/>
    <w:basedOn w:val="10"/>
    <w:qFormat/>
    <w:uiPriority w:val="0"/>
    <w:pPr>
      <w:ind w:firstLine="420" w:firstLineChars="200"/>
    </w:pPr>
  </w:style>
  <w:style w:type="table" w:styleId="17">
    <w:name w:val="Table Grid"/>
    <w:basedOn w:val="16"/>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paragraph" w:styleId="20">
    <w:name w:val="Quote"/>
    <w:basedOn w:val="1"/>
    <w:next w:val="1"/>
    <w:qFormat/>
    <w:uiPriority w:val="0"/>
    <w:pPr>
      <w:wordWrap w:val="0"/>
      <w:spacing w:before="200" w:after="160"/>
      <w:ind w:left="864" w:right="864"/>
      <w:jc w:val="center"/>
    </w:pPr>
    <w:rPr>
      <w:i/>
    </w:rPr>
  </w:style>
  <w:style w:type="paragraph" w:customStyle="1" w:styleId="21">
    <w:name w:val="首行缩进"/>
    <w:basedOn w:val="1"/>
    <w:qFormat/>
    <w:uiPriority w:val="0"/>
    <w:pPr>
      <w:ind w:firstLine="480" w:firstLineChars="200"/>
    </w:pPr>
    <w:rPr>
      <w:lang w:val="zh-CN"/>
    </w:rPr>
  </w:style>
  <w:style w:type="character" w:customStyle="1" w:styleId="22">
    <w:name w:val="NormalCharacter"/>
    <w:semiHidden/>
    <w:qFormat/>
    <w:uiPriority w:val="0"/>
  </w:style>
  <w:style w:type="character" w:customStyle="1" w:styleId="23">
    <w:name w:val="font41"/>
    <w:basedOn w:val="18"/>
    <w:qFormat/>
    <w:uiPriority w:val="0"/>
    <w:rPr>
      <w:rFonts w:hint="eastAsia" w:ascii="宋体" w:hAnsi="宋体" w:eastAsia="宋体" w:cs="宋体"/>
      <w:color w:val="000000"/>
      <w:sz w:val="21"/>
      <w:szCs w:val="21"/>
      <w:u w:val="none"/>
    </w:rPr>
  </w:style>
  <w:style w:type="character" w:customStyle="1" w:styleId="24">
    <w:name w:val="font71"/>
    <w:basedOn w:val="18"/>
    <w:qFormat/>
    <w:uiPriority w:val="0"/>
    <w:rPr>
      <w:rFonts w:hint="eastAsia" w:ascii="宋体" w:hAnsi="宋体" w:eastAsia="宋体" w:cs="宋体"/>
      <w:b/>
      <w:color w:val="000000"/>
      <w:sz w:val="21"/>
      <w:szCs w:val="21"/>
      <w:u w:val="none"/>
    </w:rPr>
  </w:style>
  <w:style w:type="character" w:customStyle="1" w:styleId="25">
    <w:name w:val="font51"/>
    <w:basedOn w:val="18"/>
    <w:qFormat/>
    <w:uiPriority w:val="0"/>
    <w:rPr>
      <w:rFonts w:hint="eastAsia" w:ascii="宋体" w:hAnsi="宋体" w:eastAsia="宋体" w:cs="宋体"/>
      <w:color w:val="000000"/>
      <w:sz w:val="21"/>
      <w:szCs w:val="21"/>
      <w:u w:val="none"/>
    </w:rPr>
  </w:style>
  <w:style w:type="character" w:customStyle="1" w:styleId="26">
    <w:name w:val="font112"/>
    <w:basedOn w:val="18"/>
    <w:qFormat/>
    <w:uiPriority w:val="0"/>
    <w:rPr>
      <w:rFonts w:hint="eastAsia" w:ascii="微软雅黑" w:hAnsi="微软雅黑" w:eastAsia="微软雅黑" w:cs="微软雅黑"/>
      <w:color w:val="000000"/>
      <w:sz w:val="16"/>
      <w:szCs w:val="16"/>
      <w:u w:val="none"/>
    </w:rPr>
  </w:style>
  <w:style w:type="character" w:customStyle="1" w:styleId="27">
    <w:name w:val="font61"/>
    <w:basedOn w:val="18"/>
    <w:qFormat/>
    <w:uiPriority w:val="0"/>
    <w:rPr>
      <w:rFonts w:hint="eastAsia" w:ascii="宋体" w:hAnsi="宋体" w:eastAsia="宋体" w:cs="宋体"/>
      <w:color w:val="000000"/>
      <w:sz w:val="20"/>
      <w:szCs w:val="20"/>
      <w:u w:val="none"/>
    </w:rPr>
  </w:style>
  <w:style w:type="character" w:customStyle="1" w:styleId="28">
    <w:name w:val="font11"/>
    <w:basedOn w:val="18"/>
    <w:qFormat/>
    <w:uiPriority w:val="0"/>
    <w:rPr>
      <w:rFonts w:ascii="Calibri" w:hAnsi="Calibri" w:cs="Calibri"/>
      <w:color w:val="000000"/>
      <w:sz w:val="20"/>
      <w:szCs w:val="20"/>
      <w:u w:val="none"/>
    </w:rPr>
  </w:style>
  <w:style w:type="character" w:customStyle="1" w:styleId="29">
    <w:name w:val="font01"/>
    <w:basedOn w:val="18"/>
    <w:qFormat/>
    <w:uiPriority w:val="0"/>
    <w:rPr>
      <w:rFonts w:ascii="Arial" w:hAnsi="Arial" w:cs="Arial"/>
      <w:color w:val="000000"/>
      <w:sz w:val="21"/>
      <w:szCs w:val="21"/>
      <w:u w:val="none"/>
    </w:rPr>
  </w:style>
  <w:style w:type="paragraph" w:customStyle="1" w:styleId="30">
    <w:name w:val="_Style 2"/>
    <w:basedOn w:val="31"/>
    <w:qFormat/>
    <w:uiPriority w:val="34"/>
    <w:pPr>
      <w:ind w:firstLine="420" w:firstLineChars="200"/>
    </w:pPr>
    <w:rPr>
      <w:rFonts w:cs="Calibri"/>
      <w:kern w:val="0"/>
      <w:sz w:val="20"/>
      <w:szCs w:val="24"/>
    </w:rPr>
  </w:style>
  <w:style w:type="paragraph" w:customStyle="1" w:styleId="31">
    <w:name w:val="Normal_0"/>
    <w:qFormat/>
    <w:uiPriority w:val="0"/>
    <w:pPr>
      <w:widowControl w:val="0"/>
      <w:spacing w:line="360" w:lineRule="atLeast"/>
      <w:jc w:val="both"/>
    </w:pPr>
    <w:rPr>
      <w:rFonts w:ascii="Times New Roman" w:hAnsi="Times New Roman" w:eastAsia="宋体" w:cs="Times New Roman"/>
      <w:kern w:val="2"/>
      <w:sz w:val="21"/>
      <w:szCs w:val="21"/>
      <w:lang w:val="en-US" w:eastAsia="zh-CN" w:bidi="ar-SA"/>
    </w:rPr>
  </w:style>
  <w:style w:type="character" w:customStyle="1" w:styleId="32">
    <w:name w:val="标题 1 Char"/>
    <w:link w:val="4"/>
    <w:qFormat/>
    <w:uiPriority w:val="0"/>
    <w:rPr>
      <w:b/>
      <w:bCs/>
      <w:kern w:val="44"/>
      <w:sz w:val="44"/>
      <w:szCs w:val="44"/>
    </w:rPr>
  </w:style>
  <w:style w:type="paragraph" w:customStyle="1" w:styleId="33">
    <w:name w:val="列出段落1"/>
    <w:basedOn w:val="1"/>
    <w:qFormat/>
    <w:uiPriority w:val="0"/>
    <w:pPr>
      <w:ind w:firstLine="420" w:firstLineChars="200"/>
    </w:pPr>
    <w:rPr>
      <w:sz w:val="20"/>
      <w:szCs w:val="20"/>
    </w:rPr>
  </w:style>
  <w:style w:type="paragraph" w:customStyle="1" w:styleId="34">
    <w:name w:val="yj-正文"/>
    <w:basedOn w:val="1"/>
    <w:qFormat/>
    <w:uiPriority w:val="0"/>
    <w:pPr>
      <w:spacing w:line="360" w:lineRule="auto"/>
      <w:ind w:firstLine="482"/>
    </w:pPr>
    <w:rPr>
      <w:rFonts w:ascii="宋体" w:hAnsi="宋体"/>
      <w:sz w:val="26"/>
      <w:szCs w:val="26"/>
    </w:rPr>
  </w:style>
  <w:style w:type="paragraph" w:customStyle="1" w:styleId="35">
    <w:name w:val="列表段落1"/>
    <w:basedOn w:val="1"/>
    <w:qFormat/>
    <w:uiPriority w:val="0"/>
    <w:pPr>
      <w:ind w:firstLine="420" w:firstLineChars="200"/>
    </w:pPr>
  </w:style>
  <w:style w:type="paragraph" w:styleId="3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14</Pages>
  <Words>6178</Words>
  <Characters>6239</Characters>
  <Lines>46</Lines>
  <Paragraphs>12</Paragraphs>
  <TotalTime>0</TotalTime>
  <ScaleCrop>false</ScaleCrop>
  <LinksUpToDate>false</LinksUpToDate>
  <CharactersWithSpaces>6301</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2017-02-27T09:20:00Z</dcterms:created>
  <dc:creator>Administrator</dc:creator>
  <cp:lastModifiedBy>张兆远</cp:lastModifiedBy>
  <cp:lastPrinted>2021-07-21T00:34:00Z</cp:lastPrinted>
  <dcterms:modified xsi:type="dcterms:W3CDTF">2025-03-27T23:25:00Z</dcterms:modified>
  <dc:title>附件1</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82A3ADB2278246C5928F601BCA936F6B_13</vt:lpwstr>
  </property>
  <property fmtid="{D5CDD505-2E9C-101B-9397-08002B2CF9AE}" pid="4" name="KSOTemplateDocerSaveRecord">
    <vt:lpwstr>eyJoZGlkIjoiZDVjNGUwYmMzYjE3YmJjNjk0ZjNmYTBlOWM4YWQ3YTEifQ==</vt:lpwstr>
  </property>
</Properties>
</file>