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14" w:line="227" w:lineRule="auto"/>
        <w:jc w:val="center"/>
        <w:outlineLvl w:val="0"/>
        <w:rPr>
          <w:rFonts w:hint="default" w:ascii="Arial Regular" w:hAnsi="Arial Regular" w:cs="Arial Regular"/>
          <w:sz w:val="18"/>
          <w:szCs w:val="18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pStyle w:val="2"/>
        <w:spacing w:before="114" w:line="227" w:lineRule="auto"/>
        <w:jc w:val="center"/>
        <w:outlineLvl w:val="0"/>
        <w:rPr>
          <w:rFonts w:hint="eastAsia"/>
          <w:sz w:val="40"/>
          <w:szCs w:val="40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/>
          <w:sz w:val="40"/>
          <w:szCs w:val="40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高中组（含中专，职高）AI 未来医院</w:t>
      </w:r>
    </w:p>
    <w:p>
      <w:pPr>
        <w:spacing w:before="101" w:line="229" w:lineRule="auto"/>
        <w:ind w:left="496"/>
        <w:jc w:val="center"/>
        <w:outlineLvl w:val="3"/>
        <w:rPr>
          <w:rFonts w:hint="eastAsia" w:ascii="黑体" w:hAnsi="黑体" w:eastAsia="黑体" w:cs="黑体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spacing w:before="101" w:line="229" w:lineRule="auto"/>
        <w:ind w:left="496"/>
        <w:jc w:val="center"/>
        <w:outlineLvl w:val="3"/>
        <w:rPr>
          <w:rFonts w:hint="eastAsia" w:ascii="黑体" w:hAnsi="黑体" w:eastAsia="黑体" w:cs="黑体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pStyle w:val="2"/>
        <w:spacing w:before="114" w:line="227" w:lineRule="auto"/>
        <w:jc w:val="center"/>
        <w:outlineLvl w:val="0"/>
        <w:rPr>
          <w:rFonts w:ascii="Arial"/>
          <w:sz w:val="21"/>
        </w:rPr>
      </w:pPr>
    </w:p>
    <w:p>
      <w:pPr>
        <w:pStyle w:val="2"/>
        <w:spacing w:before="114" w:line="227" w:lineRule="auto"/>
        <w:jc w:val="center"/>
        <w:outlineLvl w:val="0"/>
        <w:rPr>
          <w:rFonts w:hint="eastAsia"/>
          <w:sz w:val="35"/>
          <w:szCs w:val="35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/>
          <w:sz w:val="35"/>
          <w:szCs w:val="35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AI 未来医院</w:t>
      </w:r>
    </w:p>
    <w:p>
      <w:pPr>
        <w:pStyle w:val="2"/>
        <w:spacing w:before="114" w:line="227" w:lineRule="auto"/>
        <w:jc w:val="center"/>
        <w:outlineLvl w:val="0"/>
        <w:rPr>
          <w:rFonts w:hint="eastAsia"/>
          <w:sz w:val="35"/>
          <w:szCs w:val="35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224" w:lineRule="auto"/>
        <w:ind w:left="40" w:firstLine="584" w:firstLineChars="200"/>
        <w:textAlignment w:val="baseline"/>
        <w:rPr>
          <w:spacing w:val="2"/>
          <w:position w:val="26"/>
        </w:rPr>
      </w:pPr>
      <w:r>
        <w:rPr>
          <w:spacing w:val="-4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一、参赛范围</w:t>
      </w:r>
    </w:p>
    <w:p>
      <w:pPr>
        <w:pStyle w:val="2"/>
        <w:spacing w:before="286" w:line="223" w:lineRule="auto"/>
        <w:ind w:left="581"/>
        <w:rPr>
          <w:rFonts w:hint="default"/>
          <w:spacing w:val="-5"/>
          <w:lang w:val="en-US" w:eastAsia="zh-CN"/>
        </w:rPr>
      </w:pPr>
      <w:r>
        <w:rPr>
          <w:spacing w:val="-5"/>
        </w:rPr>
        <w:t>1.参赛组别：</w:t>
      </w:r>
      <w:r>
        <w:rPr>
          <w:rFonts w:hint="eastAsia"/>
          <w:spacing w:val="-5"/>
          <w:lang w:val="en-US" w:eastAsia="zh-CN"/>
        </w:rPr>
        <w:t>高中组</w:t>
      </w:r>
      <w:r>
        <w:rPr>
          <w:rFonts w:hint="eastAsia"/>
          <w:spacing w:val="-1"/>
          <w:lang w:val="en-US" w:eastAsia="zh-CN"/>
        </w:rPr>
        <w:t>(含中专，职高）</w:t>
      </w:r>
    </w:p>
    <w:p>
      <w:pPr>
        <w:pStyle w:val="2"/>
        <w:spacing w:before="286" w:line="223" w:lineRule="auto"/>
        <w:ind w:left="586"/>
      </w:pPr>
      <w:r>
        <w:rPr>
          <w:spacing w:val="-3"/>
        </w:rPr>
        <w:t>2.参赛人数：2</w:t>
      </w:r>
      <w:r>
        <w:rPr>
          <w:spacing w:val="-43"/>
        </w:rPr>
        <w:t xml:space="preserve"> </w:t>
      </w:r>
      <w:r>
        <w:rPr>
          <w:spacing w:val="-3"/>
        </w:rPr>
        <w:t>人/队伍。</w:t>
      </w:r>
    </w:p>
    <w:p>
      <w:pPr>
        <w:pStyle w:val="2"/>
        <w:spacing w:before="286" w:line="223" w:lineRule="auto"/>
        <w:ind w:left="588"/>
      </w:pPr>
      <w:r>
        <w:rPr>
          <w:spacing w:val="-3"/>
        </w:rPr>
        <w:t>3.指导教师：1</w:t>
      </w:r>
      <w:r>
        <w:rPr>
          <w:spacing w:val="-41"/>
        </w:rPr>
        <w:t xml:space="preserve"> </w:t>
      </w:r>
      <w:r>
        <w:rPr>
          <w:spacing w:val="-3"/>
        </w:rPr>
        <w:t>人（可空缺）。</w:t>
      </w:r>
    </w:p>
    <w:p>
      <w:pPr>
        <w:pStyle w:val="2"/>
        <w:spacing w:before="286" w:line="223" w:lineRule="auto"/>
        <w:ind w:left="581"/>
      </w:pPr>
      <w:r>
        <w:rPr>
          <w:spacing w:val="-5"/>
        </w:rPr>
        <w:t>4.每人限参加</w:t>
      </w:r>
      <w:r>
        <w:rPr>
          <w:spacing w:val="-32"/>
        </w:rPr>
        <w:t xml:space="preserve"> </w:t>
      </w:r>
      <w:r>
        <w:rPr>
          <w:spacing w:val="-5"/>
        </w:rPr>
        <w:t>1</w:t>
      </w:r>
      <w:r>
        <w:rPr>
          <w:spacing w:val="-49"/>
        </w:rPr>
        <w:t xml:space="preserve"> </w:t>
      </w:r>
      <w:r>
        <w:rPr>
          <w:spacing w:val="-5"/>
        </w:rPr>
        <w:t>个赛项、1</w:t>
      </w:r>
      <w:r>
        <w:rPr>
          <w:spacing w:val="-54"/>
        </w:rPr>
        <w:t xml:space="preserve"> </w:t>
      </w:r>
      <w:r>
        <w:rPr>
          <w:spacing w:val="-5"/>
        </w:rPr>
        <w:t>支队伍。</w:t>
      </w:r>
    </w:p>
    <w:p>
      <w:pPr>
        <w:pStyle w:val="2"/>
        <w:spacing w:before="286" w:line="624" w:lineRule="exact"/>
        <w:jc w:val="right"/>
      </w:pPr>
      <w:r>
        <w:rPr>
          <w:spacing w:val="-2"/>
          <w:position w:val="26"/>
        </w:rPr>
        <w:t>组别确定：以地方教育行政主管部门（教委、教育厅、教育局）</w:t>
      </w:r>
    </w:p>
    <w:p>
      <w:pPr>
        <w:pStyle w:val="2"/>
        <w:spacing w:before="1" w:line="222" w:lineRule="auto"/>
        <w:ind w:left="33"/>
      </w:pPr>
      <w:r>
        <w:rPr>
          <w:spacing w:val="-2"/>
        </w:rPr>
        <w:t>认定的选手所属学段为准。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7" w:line="224" w:lineRule="auto"/>
        <w:ind w:left="45" w:firstLine="580" w:firstLineChars="200"/>
        <w:textAlignment w:val="baseline"/>
        <w:rPr>
          <w:sz w:val="30"/>
          <w:szCs w:val="30"/>
        </w:rPr>
      </w:pPr>
      <w:r>
        <w:rPr>
          <w:spacing w:val="-5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二、竞赛主题</w:t>
      </w:r>
    </w:p>
    <w:p>
      <w:pPr>
        <w:pStyle w:val="2"/>
        <w:spacing w:before="1" w:line="222" w:lineRule="auto"/>
        <w:ind w:left="591"/>
        <w:rPr>
          <w:spacing w:val="-3"/>
        </w:rPr>
      </w:pPr>
    </w:p>
    <w:p>
      <w:pPr>
        <w:pStyle w:val="2"/>
        <w:spacing w:before="1" w:line="222" w:lineRule="auto"/>
        <w:ind w:left="591"/>
      </w:pPr>
      <w:r>
        <w:rPr>
          <w:rFonts w:hint="eastAsia"/>
          <w:spacing w:val="-3"/>
          <w:lang w:val="en-US" w:eastAsia="zh-CN"/>
        </w:rPr>
        <w:t>高中</w:t>
      </w:r>
      <w:r>
        <w:rPr>
          <w:spacing w:val="-3"/>
        </w:rPr>
        <w:t>组</w:t>
      </w:r>
      <w:r>
        <w:rPr>
          <w:rFonts w:hint="eastAsia"/>
          <w:spacing w:val="-1"/>
          <w:lang w:val="en-US" w:eastAsia="zh-CN"/>
        </w:rPr>
        <w:t>(含中专，职高）</w:t>
      </w:r>
      <w:r>
        <w:rPr>
          <w:spacing w:val="-3"/>
        </w:rPr>
        <w:t>：AI</w:t>
      </w:r>
      <w:r>
        <w:rPr>
          <w:spacing w:val="-44"/>
        </w:rPr>
        <w:t xml:space="preserve"> </w:t>
      </w:r>
      <w:r>
        <w:rPr>
          <w:spacing w:val="-3"/>
        </w:rPr>
        <w:t>未来医院。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7" w:line="224" w:lineRule="auto"/>
        <w:ind w:left="68" w:firstLine="564" w:firstLineChars="200"/>
        <w:textAlignment w:val="baseline"/>
        <w:rPr>
          <w:sz w:val="30"/>
          <w:szCs w:val="30"/>
        </w:rPr>
      </w:pPr>
      <w:r>
        <w:rPr>
          <w:rFonts w:hint="eastAsia"/>
          <w:spacing w:val="-9"/>
          <w:sz w:val="30"/>
          <w:szCs w:val="30"/>
          <w:lang w:val="en-US" w:eastAsia="zh-CN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三</w:t>
      </w:r>
      <w:r>
        <w:rPr>
          <w:spacing w:val="-9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、竞赛环境</w:t>
      </w:r>
    </w:p>
    <w:p>
      <w:pPr>
        <w:pStyle w:val="2"/>
        <w:spacing w:before="272" w:line="222" w:lineRule="auto"/>
        <w:ind w:left="592"/>
      </w:pPr>
      <w:r>
        <w:rPr>
          <w:spacing w:val="-1"/>
        </w:rPr>
        <w:t>（一）编程系统：能够完成竞赛的编程软件。</w:t>
      </w:r>
    </w:p>
    <w:p>
      <w:pPr>
        <w:pStyle w:val="2"/>
        <w:spacing w:before="287" w:line="223" w:lineRule="auto"/>
        <w:ind w:left="592"/>
        <w:rPr>
          <w:rFonts w:hint="eastAsia"/>
          <w:spacing w:val="-4"/>
          <w:lang w:val="en-US" w:eastAsia="zh-CN"/>
        </w:rPr>
      </w:pPr>
      <w:r>
        <w:rPr>
          <w:spacing w:val="-4"/>
        </w:rPr>
        <w:t>（二）编程设备：小学低年级组参赛选</w:t>
      </w:r>
      <w:r>
        <w:rPr>
          <w:rFonts w:hint="eastAsia"/>
          <w:spacing w:val="-4"/>
          <w:lang w:val="en-US" w:eastAsia="zh-CN"/>
        </w:rPr>
        <w:t>手自备竞赛用平板电脑或</w:t>
      </w:r>
    </w:p>
    <w:p>
      <w:pPr>
        <w:pStyle w:val="2"/>
        <w:spacing w:before="287" w:line="223" w:lineRule="auto"/>
        <w:rPr>
          <w:rFonts w:hint="eastAsia"/>
          <w:spacing w:val="-4"/>
          <w:lang w:val="en-US" w:eastAsia="zh-CN"/>
        </w:rPr>
      </w:pPr>
      <w:r>
        <w:rPr>
          <w:spacing w:val="-4"/>
        </w:rPr>
        <w:t>笔记本电脑，高中组参赛选手自备竞赛用笔</w:t>
      </w:r>
      <w:r>
        <w:rPr>
          <w:rFonts w:hint="eastAsia"/>
          <w:spacing w:val="-4"/>
          <w:lang w:val="en-US" w:eastAsia="zh-CN"/>
        </w:rPr>
        <w:t>记本电脑，并保证比赛时</w:t>
      </w:r>
    </w:p>
    <w:p>
      <w:pPr>
        <w:pStyle w:val="2"/>
        <w:spacing w:before="287" w:line="223" w:lineRule="auto"/>
        <w:rPr>
          <w:rFonts w:hint="eastAsia"/>
          <w:spacing w:val="-4"/>
          <w:lang w:val="en-US" w:eastAsia="zh-CN"/>
        </w:rPr>
      </w:pPr>
      <w:r>
        <w:rPr>
          <w:rFonts w:hint="eastAsia"/>
          <w:spacing w:val="-4"/>
          <w:lang w:val="en-US" w:eastAsia="zh-CN"/>
        </w:rPr>
        <w:t>电量充足（可自备移动充电设备）</w:t>
      </w:r>
    </w:p>
    <w:p>
      <w:pPr>
        <w:pStyle w:val="2"/>
        <w:spacing w:before="289" w:line="624" w:lineRule="exact"/>
        <w:ind w:right="13"/>
        <w:jc w:val="right"/>
      </w:pPr>
      <w:r>
        <w:rPr>
          <w:spacing w:val="-3"/>
          <w:position w:val="26"/>
        </w:rPr>
        <w:t>（三）禁带设备：U</w:t>
      </w:r>
      <w:r>
        <w:rPr>
          <w:spacing w:val="-29"/>
          <w:position w:val="26"/>
        </w:rPr>
        <w:t xml:space="preserve"> </w:t>
      </w:r>
      <w:r>
        <w:rPr>
          <w:spacing w:val="-3"/>
          <w:position w:val="26"/>
        </w:rPr>
        <w:t>盘、手机、对讲机、带通信或存储功能的手</w:t>
      </w:r>
    </w:p>
    <w:p>
      <w:pPr>
        <w:pStyle w:val="2"/>
        <w:spacing w:before="1" w:line="222" w:lineRule="auto"/>
        <w:ind w:left="34"/>
      </w:pPr>
      <w:r>
        <w:rPr>
          <w:spacing w:val="-4"/>
        </w:rPr>
        <w:t>表（环）等。</w:t>
      </w:r>
    </w:p>
    <w:p>
      <w:pPr>
        <w:pStyle w:val="2"/>
        <w:spacing w:before="285" w:line="224" w:lineRule="auto"/>
        <w:ind w:left="592"/>
      </w:pPr>
      <w:r>
        <w:rPr>
          <w:spacing w:val="-3"/>
        </w:rPr>
        <w:t>（四）竞赛场地</w:t>
      </w:r>
    </w:p>
    <w:p>
      <w:pPr>
        <w:spacing w:before="200" w:line="3542" w:lineRule="exact"/>
        <w:ind w:firstLine="537"/>
      </w:pPr>
      <w:r>
        <w:rPr>
          <w:position w:val="-70"/>
        </w:rPr>
        <w:drawing>
          <wp:inline distT="0" distB="0" distL="0" distR="0">
            <wp:extent cx="4608195" cy="2249170"/>
            <wp:effectExtent l="0" t="0" r="1905" b="1778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08575" cy="2249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288" w:line="223" w:lineRule="auto"/>
        <w:ind w:left="2785" w:firstLine="552" w:firstLineChars="200"/>
      </w:pPr>
      <w:r>
        <w:rPr>
          <w:spacing w:val="-2"/>
        </w:rPr>
        <w:t>高中组示意图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5" w:line="624" w:lineRule="exact"/>
        <w:ind w:firstLine="548" w:firstLineChars="200"/>
        <w:textAlignment w:val="baseline"/>
      </w:pPr>
      <w:r>
        <w:rPr>
          <w:spacing w:val="-3"/>
          <w:position w:val="26"/>
        </w:rPr>
        <w:t>1.场地为长</w:t>
      </w:r>
      <w:r>
        <w:rPr>
          <w:spacing w:val="-57"/>
          <w:position w:val="26"/>
        </w:rPr>
        <w:t xml:space="preserve"> </w:t>
      </w:r>
      <w:r>
        <w:rPr>
          <w:spacing w:val="-3"/>
          <w:position w:val="26"/>
        </w:rPr>
        <w:t>240cm×宽</w:t>
      </w:r>
      <w:r>
        <w:rPr>
          <w:spacing w:val="-40"/>
          <w:position w:val="26"/>
        </w:rPr>
        <w:t xml:space="preserve"> </w:t>
      </w:r>
      <w:r>
        <w:rPr>
          <w:spacing w:val="-3"/>
          <w:position w:val="26"/>
        </w:rPr>
        <w:t>120cm，材质为</w:t>
      </w:r>
      <w:r>
        <w:rPr>
          <w:spacing w:val="-61"/>
          <w:position w:val="26"/>
        </w:rPr>
        <w:t xml:space="preserve"> </w:t>
      </w:r>
      <w:r>
        <w:rPr>
          <w:spacing w:val="-3"/>
          <w:position w:val="26"/>
        </w:rPr>
        <w:t>0.05cm</w:t>
      </w:r>
      <w:r>
        <w:rPr>
          <w:spacing w:val="-49"/>
          <w:position w:val="26"/>
        </w:rPr>
        <w:t xml:space="preserve"> </w:t>
      </w:r>
      <w:r>
        <w:rPr>
          <w:spacing w:val="-3"/>
          <w:position w:val="26"/>
        </w:rPr>
        <w:t>厚环保基材。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23" w:lineRule="auto"/>
        <w:ind w:firstLine="548" w:firstLineChars="200"/>
        <w:textAlignment w:val="baseline"/>
        <w:rPr>
          <w:spacing w:val="-3"/>
        </w:rPr>
      </w:pPr>
      <w:r>
        <w:rPr>
          <w:spacing w:val="-3"/>
        </w:rPr>
        <w:t>2.出发区尺寸为长</w:t>
      </w:r>
      <w:r>
        <w:rPr>
          <w:spacing w:val="-37"/>
        </w:rPr>
        <w:t xml:space="preserve"> </w:t>
      </w:r>
      <w:r>
        <w:rPr>
          <w:spacing w:val="-3"/>
        </w:rPr>
        <w:t>30cm×宽</w:t>
      </w:r>
      <w:r>
        <w:rPr>
          <w:spacing w:val="-56"/>
        </w:rPr>
        <w:t xml:space="preserve"> </w:t>
      </w:r>
      <w:r>
        <w:rPr>
          <w:spacing w:val="-3"/>
        </w:rPr>
        <w:t>30cm。</w:t>
      </w:r>
    </w:p>
    <w:p>
      <w:pPr>
        <w:pStyle w:val="2"/>
        <w:spacing w:before="1" w:line="223" w:lineRule="auto"/>
        <w:ind w:left="586"/>
        <w:rPr>
          <w:spacing w:val="-3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24" w:lineRule="auto"/>
        <w:ind w:firstLine="584" w:firstLineChars="200"/>
        <w:textAlignment w:val="baseline"/>
        <w:rPr>
          <w:sz w:val="30"/>
          <w:szCs w:val="30"/>
        </w:rPr>
      </w:pPr>
      <w:r>
        <w:rPr>
          <w:rFonts w:hint="eastAsia"/>
          <w:spacing w:val="-4"/>
          <w:sz w:val="30"/>
          <w:szCs w:val="30"/>
          <w:lang w:val="en-US" w:eastAsia="zh-CN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四</w:t>
      </w:r>
      <w:r>
        <w:rPr>
          <w:spacing w:val="-4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、竞赛器材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9" w:line="222" w:lineRule="auto"/>
        <w:ind w:left="702"/>
        <w:textAlignment w:val="baseline"/>
      </w:pPr>
      <w:r>
        <w:rPr>
          <w:spacing w:val="-3"/>
        </w:rPr>
        <w:t>1.每支队伍一台机器人。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7" w:line="360" w:lineRule="auto"/>
        <w:ind w:left="680"/>
        <w:textAlignment w:val="baseline"/>
        <w:rPr>
          <w:spacing w:val="-1"/>
        </w:rPr>
      </w:pPr>
      <w:r>
        <w:rPr>
          <w:spacing w:val="-1"/>
        </w:rPr>
        <w:t>2.机器人尺寸不超过长 25cm×宽 25cm×高 30cm（不含机械臂）。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22" w:lineRule="auto"/>
        <w:ind w:left="687"/>
        <w:textAlignment w:val="baseline"/>
      </w:pPr>
      <w:r>
        <w:rPr>
          <w:spacing w:val="-2"/>
        </w:rPr>
        <w:t>3.机器人内部电池供电电压不得超过</w:t>
      </w:r>
      <w:r>
        <w:rPr>
          <w:spacing w:val="-44"/>
        </w:rPr>
        <w:t xml:space="preserve"> </w:t>
      </w:r>
      <w:r>
        <w:rPr>
          <w:spacing w:val="-2"/>
        </w:rPr>
        <w:t>9V。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7" w:line="360" w:lineRule="auto"/>
        <w:ind w:left="680"/>
        <w:textAlignment w:val="baseline"/>
        <w:rPr>
          <w:spacing w:val="-3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spacing w:val="-1"/>
        </w:rPr>
        <w:t>4.</w:t>
      </w:r>
      <w:r>
        <w:rPr>
          <w:rFonts w:hint="eastAsia"/>
          <w:spacing w:val="-1"/>
          <w:lang w:val="en-US" w:eastAsia="zh-CN"/>
        </w:rPr>
        <w:t>高中组(含中专，职高）提前编写好编程，赛前进行编程调试</w:t>
      </w:r>
      <w:r>
        <w:rPr>
          <w:spacing w:val="-1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7" w:line="224" w:lineRule="auto"/>
        <w:ind w:left="136" w:firstLine="588" w:firstLineChars="200"/>
        <w:textAlignment w:val="baseline"/>
        <w:outlineLvl w:val="0"/>
        <w:rPr>
          <w:sz w:val="30"/>
          <w:szCs w:val="30"/>
        </w:rPr>
      </w:pPr>
      <w:r>
        <w:rPr>
          <w:rFonts w:hint="eastAsia"/>
          <w:spacing w:val="-3"/>
          <w:sz w:val="30"/>
          <w:szCs w:val="30"/>
          <w:lang w:val="en-US" w:eastAsia="zh-CN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五</w:t>
      </w:r>
      <w:r>
        <w:rPr>
          <w:spacing w:val="-3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、竞赛任务</w:t>
      </w:r>
    </w:p>
    <w:p>
      <w:pPr>
        <w:pStyle w:val="2"/>
        <w:spacing w:before="91" w:line="223" w:lineRule="auto"/>
        <w:ind w:left="691"/>
        <w:rPr>
          <w:spacing w:val="-5"/>
        </w:rPr>
      </w:pPr>
      <w:r>
        <w:rPr>
          <w:spacing w:val="-1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hint="eastAsia"/>
          <w:spacing w:val="-1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一</w:t>
      </w:r>
      <w:r>
        <w:rPr>
          <w:spacing w:val="-1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）高中组</w:t>
      </w:r>
    </w:p>
    <w:p>
      <w:pPr>
        <w:pStyle w:val="2"/>
        <w:spacing w:before="285" w:line="223" w:lineRule="auto"/>
        <w:ind w:left="702"/>
      </w:pPr>
      <w:r>
        <w:rPr>
          <w:spacing w:val="-5"/>
        </w:rPr>
        <w:t>1.任务概述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5" w:line="624" w:lineRule="exact"/>
        <w:ind w:firstLine="544" w:firstLineChars="200"/>
        <w:textAlignment w:val="baseline"/>
        <w:rPr>
          <w:rFonts w:hint="default" w:eastAsia="仿宋"/>
          <w:spacing w:val="-4"/>
          <w:position w:val="26"/>
          <w:lang w:val="en-US" w:eastAsia="zh-CN"/>
        </w:rPr>
      </w:pPr>
      <w:r>
        <w:rPr>
          <w:spacing w:val="-4"/>
          <w:position w:val="26"/>
        </w:rPr>
        <w:t>机器人由出发区出发，自定顺序完成清理垃圾、病人导诊、送样</w:t>
      </w:r>
      <w:r>
        <w:rPr>
          <w:rFonts w:hint="eastAsia"/>
          <w:spacing w:val="-4"/>
          <w:position w:val="26"/>
          <w:lang w:val="en-US" w:eastAsia="zh-CN"/>
        </w:rPr>
        <w:t>检测、取药送药、病房协助后返回出发区静止。</w:t>
      </w:r>
    </w:p>
    <w:p>
      <w:pPr>
        <w:pStyle w:val="2"/>
        <w:spacing w:before="289" w:line="223" w:lineRule="auto"/>
        <w:ind w:left="685"/>
        <w:rPr>
          <w:spacing w:val="-2"/>
        </w:rPr>
      </w:pPr>
    </w:p>
    <w:p>
      <w:pPr>
        <w:pStyle w:val="2"/>
        <w:spacing w:before="289" w:line="223" w:lineRule="auto"/>
        <w:ind w:left="685"/>
        <w:rPr>
          <w:spacing w:val="-2"/>
        </w:rPr>
      </w:pPr>
    </w:p>
    <w:p>
      <w:pPr>
        <w:pStyle w:val="2"/>
        <w:spacing w:before="289" w:line="223" w:lineRule="auto"/>
        <w:ind w:left="685"/>
        <w:rPr>
          <w:spacing w:val="-2"/>
        </w:rPr>
      </w:pPr>
    </w:p>
    <w:p>
      <w:pPr>
        <w:pStyle w:val="2"/>
        <w:spacing w:before="289" w:line="223" w:lineRule="auto"/>
        <w:ind w:left="685"/>
        <w:rPr>
          <w:spacing w:val="-2"/>
        </w:rPr>
      </w:pPr>
    </w:p>
    <w:p>
      <w:pPr>
        <w:pStyle w:val="2"/>
        <w:spacing w:before="289" w:line="223" w:lineRule="auto"/>
        <w:ind w:left="685"/>
      </w:pPr>
      <w:r>
        <w:rPr>
          <w:spacing w:val="-2"/>
        </w:rPr>
        <w:t>2.任务分解</w:t>
      </w:r>
    </w:p>
    <w:p>
      <w:pPr>
        <w:pStyle w:val="2"/>
        <w:spacing w:before="286" w:line="223" w:lineRule="auto"/>
        <w:ind w:left="691"/>
      </w:pPr>
      <w:r>
        <w:rPr>
          <w:spacing w:val="-3"/>
        </w:rPr>
        <w:t>（1）清理垃圾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5" w:line="624" w:lineRule="exact"/>
        <w:ind w:firstLine="584" w:firstLineChars="200"/>
        <w:textAlignment w:val="baseline"/>
      </w:pPr>
      <w:r>
        <w:rPr>
          <w:spacing w:val="6"/>
          <w:position w:val="26"/>
        </w:rPr>
        <w:t>机器人将垃圾模型A和B分别运送至垃圾处理中心并放入对应字</w:t>
      </w:r>
      <w:r>
        <w:rPr>
          <w:rFonts w:hint="eastAsia"/>
          <w:spacing w:val="6"/>
          <w:position w:val="26"/>
          <w:lang w:val="en-US" w:eastAsia="zh-CN"/>
        </w:rPr>
        <w:t>母的垃圾桶内视为成功，示意图如下：</w:t>
      </w:r>
    </w:p>
    <w:tbl>
      <w:tblPr>
        <w:tblStyle w:val="6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98"/>
        <w:gridCol w:w="2233"/>
        <w:gridCol w:w="350"/>
        <w:gridCol w:w="344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6" w:hRule="atLeast"/>
        </w:trPr>
        <w:tc>
          <w:tcPr>
            <w:tcW w:w="2498" w:type="dxa"/>
            <w:tcBorders>
              <w:bottom w:val="nil"/>
              <w:right w:val="nil"/>
            </w:tcBorders>
            <w:vAlign w:val="top"/>
          </w:tcPr>
          <w:p>
            <w:pPr>
              <w:pStyle w:val="7"/>
            </w:pPr>
          </w:p>
          <w:p>
            <w:pPr>
              <w:spacing w:line="1659" w:lineRule="exact"/>
              <w:ind w:firstLine="803"/>
            </w:pPr>
            <w:r>
              <w:rPr>
                <w:position w:val="-33"/>
              </w:rPr>
              <w:drawing>
                <wp:inline distT="0" distB="0" distL="0" distR="0">
                  <wp:extent cx="997585" cy="1052830"/>
                  <wp:effectExtent l="0" t="0" r="12065" b="13970"/>
                  <wp:docPr id="36" name="IM 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 3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219" cy="10530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3" w:type="dxa"/>
            <w:gridSpan w:val="2"/>
            <w:tcBorders>
              <w:left w:val="nil"/>
              <w:bottom w:val="nil"/>
            </w:tcBorders>
            <w:vAlign w:val="top"/>
          </w:tcPr>
          <w:p>
            <w:pPr>
              <w:pStyle w:val="7"/>
            </w:pPr>
          </w:p>
          <w:p>
            <w:pPr>
              <w:spacing w:line="1659" w:lineRule="exact"/>
              <w:ind w:firstLine="117"/>
            </w:pPr>
            <w:r>
              <w:rPr>
                <w:position w:val="-33"/>
              </w:rPr>
              <w:drawing>
                <wp:inline distT="0" distB="0" distL="0" distR="0">
                  <wp:extent cx="958215" cy="1052830"/>
                  <wp:effectExtent l="0" t="0" r="13335" b="13970"/>
                  <wp:docPr id="38" name="IM 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 38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596" cy="10530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45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line="300" w:lineRule="auto"/>
            </w:pPr>
          </w:p>
          <w:p>
            <w:pPr>
              <w:spacing w:line="1536" w:lineRule="exact"/>
              <w:ind w:firstLine="107"/>
            </w:pPr>
            <w:r>
              <w:rPr>
                <w:position w:val="-30"/>
              </w:rPr>
              <w:drawing>
                <wp:inline distT="0" distB="0" distL="0" distR="0">
                  <wp:extent cx="2115820" cy="974725"/>
                  <wp:effectExtent l="0" t="0" r="17780" b="15875"/>
                  <wp:docPr id="40" name="IM 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 4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6073" cy="975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before="61" w:line="222" w:lineRule="auto"/>
              <w:ind w:left="116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垃圾桶模型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5081" w:type="dxa"/>
            <w:gridSpan w:val="3"/>
            <w:tcBorders>
              <w:top w:val="nil"/>
            </w:tcBorders>
            <w:vAlign w:val="top"/>
          </w:tcPr>
          <w:p>
            <w:pPr>
              <w:spacing w:before="79" w:line="222" w:lineRule="auto"/>
              <w:ind w:left="12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垃圾模型摆放处，每处限摆放一个垃圾模型</w:t>
            </w:r>
          </w:p>
        </w:tc>
        <w:tc>
          <w:tcPr>
            <w:tcW w:w="3445" w:type="dxa"/>
            <w:vMerge w:val="continue"/>
            <w:tcBorders>
              <w:top w:val="nil"/>
            </w:tcBorders>
            <w:vAlign w:val="top"/>
          </w:tcPr>
          <w:p>
            <w:pPr>
              <w:pStyle w:val="7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7" w:hRule="atLeast"/>
        </w:trPr>
        <w:tc>
          <w:tcPr>
            <w:tcW w:w="4731" w:type="dxa"/>
            <w:gridSpan w:val="2"/>
            <w:tcBorders>
              <w:bottom w:val="nil"/>
              <w:right w:val="nil"/>
            </w:tcBorders>
            <w:vAlign w:val="top"/>
          </w:tcPr>
          <w:p>
            <w:pPr>
              <w:spacing w:before="202" w:line="1348" w:lineRule="exact"/>
              <w:ind w:firstLine="2586"/>
            </w:pPr>
            <w:r>
              <w:rPr>
                <w:position w:val="-26"/>
              </w:rPr>
              <w:drawing>
                <wp:inline distT="0" distB="0" distL="0" distR="0">
                  <wp:extent cx="789305" cy="855980"/>
                  <wp:effectExtent l="0" t="0" r="10795" b="1270"/>
                  <wp:docPr id="42" name="IM 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 4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9432" cy="856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5" w:type="dxa"/>
            <w:gridSpan w:val="2"/>
            <w:tcBorders>
              <w:left w:val="nil"/>
              <w:bottom w:val="nil"/>
            </w:tcBorders>
            <w:vAlign w:val="top"/>
          </w:tcPr>
          <w:p>
            <w:pPr>
              <w:spacing w:before="202" w:line="1329" w:lineRule="exact"/>
              <w:ind w:firstLine="109"/>
            </w:pPr>
            <w:r>
              <w:rPr>
                <w:position w:val="-26"/>
              </w:rPr>
              <w:drawing>
                <wp:inline distT="0" distB="0" distL="0" distR="0">
                  <wp:extent cx="770890" cy="843915"/>
                  <wp:effectExtent l="0" t="0" r="10160" b="13335"/>
                  <wp:docPr id="44" name="IM 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 4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44" cy="844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8526" w:type="dxa"/>
            <w:gridSpan w:val="4"/>
            <w:tcBorders>
              <w:top w:val="nil"/>
            </w:tcBorders>
            <w:vAlign w:val="top"/>
          </w:tcPr>
          <w:p>
            <w:pPr>
              <w:spacing w:before="76" w:line="215" w:lineRule="auto"/>
              <w:ind w:left="184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垃圾模型：硬质材料，4cm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立方体，重</w:t>
            </w:r>
            <w:r>
              <w:rPr>
                <w:rFonts w:ascii="仿宋" w:hAnsi="仿宋" w:eastAsia="仿宋" w:cs="仿宋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40g</w:t>
            </w:r>
          </w:p>
        </w:tc>
      </w:tr>
    </w:tbl>
    <w:p>
      <w:pPr>
        <w:pStyle w:val="2"/>
        <w:spacing w:before="171" w:line="224" w:lineRule="auto"/>
        <w:ind w:left="691"/>
      </w:pPr>
      <w:r>
        <w:rPr>
          <w:spacing w:val="-3"/>
        </w:rPr>
        <w:t>（2）病人导诊</w:t>
      </w:r>
    </w:p>
    <w:p>
      <w:pPr>
        <w:pStyle w:val="2"/>
        <w:spacing w:before="287" w:line="411" w:lineRule="auto"/>
        <w:ind w:left="129" w:right="64" w:firstLine="561"/>
      </w:pPr>
      <w:r>
        <w:rPr>
          <w:spacing w:val="-4"/>
        </w:rPr>
        <w:t>机器人无亮灯状态识别二维码，亮对应颜色的灯后，将候诊区病</w:t>
      </w:r>
      <w:r>
        <w:t xml:space="preserve"> </w:t>
      </w:r>
      <w:r>
        <w:rPr>
          <w:spacing w:val="6"/>
        </w:rPr>
        <w:t>人模型运送至对应诊室的诊断区且病人模型垂直投影</w:t>
      </w:r>
      <w:r>
        <w:rPr>
          <w:spacing w:val="5"/>
        </w:rPr>
        <w:t>全部在区域内</w:t>
      </w:r>
      <w:r>
        <w:t xml:space="preserve"> </w:t>
      </w:r>
      <w:r>
        <w:rPr>
          <w:spacing w:val="-4"/>
        </w:rPr>
        <w:t>视为成功（</w:t>
      </w:r>
      <w:r>
        <w:rPr>
          <w:spacing w:val="-74"/>
        </w:rPr>
        <w:t xml:space="preserve"> </w:t>
      </w:r>
      <w:r>
        <w:rPr>
          <w:spacing w:val="-4"/>
        </w:rPr>
        <w:t>二维码为1对应绿灯、对应诊室一；二维码为2</w:t>
      </w:r>
      <w:r>
        <w:rPr>
          <w:spacing w:val="-5"/>
        </w:rPr>
        <w:t>对应红灯</w:t>
      </w:r>
      <w:r>
        <w:rPr>
          <w:rFonts w:hint="eastAsia"/>
          <w:spacing w:val="-5"/>
          <w:lang w:val="en-US" w:eastAsia="zh-CN"/>
        </w:rPr>
        <w:t>对应诊室二），示意图如下：</w:t>
      </w:r>
    </w:p>
    <w:tbl>
      <w:tblPr>
        <w:tblStyle w:val="6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80"/>
        <w:gridCol w:w="2155"/>
        <w:gridCol w:w="2177"/>
        <w:gridCol w:w="201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9" w:hRule="atLeast"/>
        </w:trPr>
        <w:tc>
          <w:tcPr>
            <w:tcW w:w="4335" w:type="dxa"/>
            <w:gridSpan w:val="2"/>
            <w:vAlign w:val="top"/>
          </w:tcPr>
          <w:p>
            <w:pPr>
              <w:spacing w:before="55" w:line="1740" w:lineRule="exact"/>
              <w:ind w:firstLine="107"/>
            </w:pPr>
            <w:r>
              <w:rPr>
                <w:position w:val="-34"/>
              </w:rPr>
              <w:drawing>
                <wp:inline distT="0" distB="0" distL="0" distR="0">
                  <wp:extent cx="2631440" cy="1104900"/>
                  <wp:effectExtent l="0" t="0" r="16510" b="0"/>
                  <wp:docPr id="46" name="IM 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 4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1947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1" w:type="dxa"/>
            <w:gridSpan w:val="2"/>
            <w:vAlign w:val="top"/>
          </w:tcPr>
          <w:p>
            <w:pPr>
              <w:spacing w:before="206" w:line="1461" w:lineRule="exact"/>
              <w:ind w:firstLine="112"/>
            </w:pPr>
            <w:r>
              <w:rPr>
                <w:position w:val="-29"/>
              </w:rPr>
              <w:drawing>
                <wp:inline distT="0" distB="0" distL="0" distR="0">
                  <wp:extent cx="2514600" cy="927735"/>
                  <wp:effectExtent l="0" t="0" r="0" b="5715"/>
                  <wp:docPr id="48" name="IM 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 48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0" cy="928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4" w:hRule="atLeast"/>
        </w:trPr>
        <w:tc>
          <w:tcPr>
            <w:tcW w:w="2180" w:type="dxa"/>
            <w:vMerge w:val="restart"/>
            <w:tcBorders>
              <w:bottom w:val="nil"/>
              <w:right w:val="nil"/>
            </w:tcBorders>
            <w:vAlign w:val="top"/>
          </w:tcPr>
          <w:p>
            <w:pPr>
              <w:spacing w:before="6" w:line="1472" w:lineRule="exact"/>
              <w:ind w:firstLine="630"/>
            </w:pPr>
            <w:r>
              <w:rPr>
                <w:position w:val="-29"/>
              </w:rPr>
              <w:drawing>
                <wp:inline distT="0" distB="0" distL="0" distR="0">
                  <wp:extent cx="882015" cy="934085"/>
                  <wp:effectExtent l="0" t="0" r="13335" b="18415"/>
                  <wp:docPr id="50" name="IM 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 50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2396" cy="9342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before="118" w:line="203" w:lineRule="auto"/>
              <w:ind w:left="74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二维码模型1</w:t>
            </w:r>
          </w:p>
        </w:tc>
        <w:tc>
          <w:tcPr>
            <w:tcW w:w="2155" w:type="dxa"/>
            <w:vMerge w:val="restart"/>
            <w:tcBorders>
              <w:left w:val="nil"/>
              <w:bottom w:val="nil"/>
            </w:tcBorders>
            <w:vAlign w:val="top"/>
          </w:tcPr>
          <w:p>
            <w:pPr>
              <w:spacing w:before="150" w:line="1329" w:lineRule="exact"/>
              <w:ind w:firstLine="198"/>
            </w:pPr>
            <w:r>
              <w:rPr>
                <w:position w:val="-26"/>
              </w:rPr>
              <w:drawing>
                <wp:inline distT="0" distB="0" distL="0" distR="0">
                  <wp:extent cx="838200" cy="843280"/>
                  <wp:effectExtent l="0" t="0" r="0" b="13970"/>
                  <wp:docPr id="52" name="IM 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 52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76" cy="843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before="117" w:line="203" w:lineRule="auto"/>
              <w:ind w:left="13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二维码模型2</w:t>
            </w:r>
          </w:p>
        </w:tc>
        <w:tc>
          <w:tcPr>
            <w:tcW w:w="2177" w:type="dxa"/>
            <w:tcBorders>
              <w:bottom w:val="nil"/>
              <w:right w:val="nil"/>
            </w:tcBorders>
            <w:vAlign w:val="top"/>
          </w:tcPr>
          <w:p>
            <w:pPr>
              <w:spacing w:before="62" w:line="1435" w:lineRule="exact"/>
              <w:ind w:firstLine="1096"/>
            </w:pPr>
            <w:r>
              <w:rPr>
                <w:position w:val="-28"/>
              </w:rPr>
              <w:drawing>
                <wp:inline distT="0" distB="0" distL="0" distR="0">
                  <wp:extent cx="539115" cy="911225"/>
                  <wp:effectExtent l="0" t="0" r="13335" b="3175"/>
                  <wp:docPr id="54" name="IM 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 54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496" cy="9113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4" w:type="dxa"/>
            <w:tcBorders>
              <w:left w:val="nil"/>
              <w:bottom w:val="nil"/>
            </w:tcBorders>
            <w:vAlign w:val="top"/>
          </w:tcPr>
          <w:p>
            <w:pPr>
              <w:spacing w:before="93" w:line="1404" w:lineRule="exact"/>
              <w:ind w:firstLine="231"/>
            </w:pPr>
            <w:r>
              <w:rPr>
                <w:position w:val="-28"/>
              </w:rPr>
              <w:drawing>
                <wp:inline distT="0" distB="0" distL="0" distR="0">
                  <wp:extent cx="530225" cy="891540"/>
                  <wp:effectExtent l="0" t="0" r="3175" b="3810"/>
                  <wp:docPr id="56" name="IM 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 56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0352" cy="891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2180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>
            <w:pPr>
              <w:pStyle w:val="7"/>
            </w:pPr>
          </w:p>
        </w:tc>
        <w:tc>
          <w:tcPr>
            <w:tcW w:w="2155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>
            <w:pPr>
              <w:pStyle w:val="7"/>
            </w:pPr>
          </w:p>
        </w:tc>
        <w:tc>
          <w:tcPr>
            <w:tcW w:w="4191" w:type="dxa"/>
            <w:gridSpan w:val="2"/>
            <w:vMerge w:val="restart"/>
            <w:tcBorders>
              <w:top w:val="nil"/>
              <w:bottom w:val="nil"/>
            </w:tcBorders>
            <w:vAlign w:val="top"/>
          </w:tcPr>
          <w:p>
            <w:pPr>
              <w:spacing w:before="55" w:line="223" w:lineRule="auto"/>
              <w:ind w:left="162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病人模型</w:t>
            </w:r>
          </w:p>
          <w:p>
            <w:pPr>
              <w:spacing w:before="22" w:line="207" w:lineRule="auto"/>
              <w:ind w:left="27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硬质材料，8cm×4cm×3cm，重</w:t>
            </w:r>
            <w:r>
              <w:rPr>
                <w:rFonts w:ascii="仿宋" w:hAnsi="仿宋" w:eastAsia="仿宋" w:cs="仿宋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50g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4335" w:type="dxa"/>
            <w:gridSpan w:val="2"/>
            <w:tcBorders>
              <w:top w:val="nil"/>
            </w:tcBorders>
            <w:vAlign w:val="top"/>
          </w:tcPr>
          <w:p>
            <w:pPr>
              <w:spacing w:before="38" w:line="209" w:lineRule="auto"/>
              <w:ind w:left="40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硬质材料,8cm×8cm×3cm,重</w:t>
            </w:r>
            <w:r>
              <w:rPr>
                <w:rFonts w:ascii="仿宋" w:hAnsi="仿宋" w:eastAsia="仿宋" w:cs="仿宋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100g</w:t>
            </w:r>
          </w:p>
        </w:tc>
        <w:tc>
          <w:tcPr>
            <w:tcW w:w="419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pStyle w:val="7"/>
            </w:pPr>
          </w:p>
        </w:tc>
      </w:tr>
    </w:tbl>
    <w:p>
      <w:pPr>
        <w:pStyle w:val="2"/>
        <w:spacing w:before="171" w:line="220" w:lineRule="auto"/>
        <w:ind w:left="691"/>
        <w:rPr>
          <w:spacing w:val="-3"/>
        </w:rPr>
      </w:pPr>
    </w:p>
    <w:p>
      <w:pPr>
        <w:pStyle w:val="2"/>
        <w:spacing w:before="171" w:line="220" w:lineRule="auto"/>
        <w:ind w:left="691"/>
      </w:pPr>
      <w:r>
        <w:rPr>
          <w:spacing w:val="-3"/>
        </w:rPr>
        <w:t>（3）送样检测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92" w:line="411" w:lineRule="auto"/>
        <w:ind w:right="113" w:firstLine="564" w:firstLineChars="200"/>
        <w:textAlignment w:val="baseline"/>
      </w:pPr>
      <w:r>
        <w:rPr>
          <w:spacing w:val="1"/>
        </w:rPr>
        <w:t>机器人识别样本室的1个样本模型颜色（黄色或紫色）后，将其</w:t>
      </w:r>
      <w:r>
        <w:t xml:space="preserve"> </w:t>
      </w:r>
      <w:r>
        <w:rPr>
          <w:spacing w:val="-4"/>
        </w:rPr>
        <w:t>放置到检验室缓慢转动的检验台对应颜色区域且不掉落视为成功，示</w:t>
      </w:r>
      <w:r>
        <w:rPr>
          <w:spacing w:val="-6"/>
        </w:rPr>
        <w:t>意图如下：</w:t>
      </w:r>
    </w:p>
    <w:p>
      <w:pPr>
        <w:spacing w:line="115" w:lineRule="exact"/>
      </w:pPr>
    </w:p>
    <w:tbl>
      <w:tblPr>
        <w:tblStyle w:val="6"/>
        <w:tblW w:w="837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66"/>
        <w:gridCol w:w="2112"/>
        <w:gridCol w:w="209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3" w:hRule="atLeast"/>
        </w:trPr>
        <w:tc>
          <w:tcPr>
            <w:tcW w:w="4166" w:type="dxa"/>
            <w:vAlign w:val="top"/>
          </w:tcPr>
          <w:p>
            <w:pPr>
              <w:spacing w:before="82" w:line="2319" w:lineRule="exact"/>
              <w:ind w:firstLine="462"/>
            </w:pPr>
            <w:r>
              <w:rPr>
                <w:position w:val="-46"/>
              </w:rPr>
              <w:drawing>
                <wp:inline distT="0" distB="0" distL="0" distR="0">
                  <wp:extent cx="2042160" cy="1471930"/>
                  <wp:effectExtent l="0" t="0" r="15240" b="13970"/>
                  <wp:docPr id="58" name="IM 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 58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2160" cy="14721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07" w:type="dxa"/>
            <w:gridSpan w:val="2"/>
            <w:vAlign w:val="top"/>
          </w:tcPr>
          <w:p>
            <w:pPr>
              <w:spacing w:before="113" w:line="2271" w:lineRule="exact"/>
              <w:ind w:firstLine="508"/>
            </w:pPr>
            <w:r>
              <w:rPr>
                <w:position w:val="-45"/>
              </w:rPr>
              <w:drawing>
                <wp:inline distT="0" distB="0" distL="0" distR="0">
                  <wp:extent cx="2002155" cy="1441450"/>
                  <wp:effectExtent l="0" t="0" r="17145" b="6350"/>
                  <wp:docPr id="60" name="IM 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 60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2535" cy="14417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6" w:hRule="atLeast"/>
        </w:trPr>
        <w:tc>
          <w:tcPr>
            <w:tcW w:w="4166" w:type="dxa"/>
            <w:vMerge w:val="restart"/>
            <w:tcBorders>
              <w:bottom w:val="nil"/>
            </w:tcBorders>
            <w:vAlign w:val="top"/>
          </w:tcPr>
          <w:p>
            <w:pPr>
              <w:spacing w:before="53" w:line="1743" w:lineRule="exact"/>
              <w:ind w:firstLine="942"/>
            </w:pPr>
            <w:r>
              <w:rPr>
                <w:position w:val="-34"/>
              </w:rPr>
              <w:drawing>
                <wp:inline distT="0" distB="0" distL="0" distR="0">
                  <wp:extent cx="1444625" cy="1106170"/>
                  <wp:effectExtent l="0" t="0" r="3175" b="17780"/>
                  <wp:docPr id="62" name="IM 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 62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4751" cy="1106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before="116" w:line="220" w:lineRule="auto"/>
              <w:ind w:left="149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检验台模型</w:t>
            </w:r>
          </w:p>
          <w:p>
            <w:pPr>
              <w:spacing w:before="26" w:line="206" w:lineRule="auto"/>
              <w:ind w:left="95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直径18cm，挡板高5cm</w:t>
            </w:r>
          </w:p>
        </w:tc>
        <w:tc>
          <w:tcPr>
            <w:tcW w:w="2112" w:type="dxa"/>
            <w:tcBorders>
              <w:bottom w:val="nil"/>
              <w:right w:val="nil"/>
            </w:tcBorders>
            <w:vAlign w:val="top"/>
          </w:tcPr>
          <w:p>
            <w:pPr>
              <w:spacing w:before="68" w:line="1730" w:lineRule="exact"/>
              <w:ind w:firstLine="698"/>
            </w:pPr>
            <w:r>
              <w:rPr>
                <w:position w:val="-34"/>
              </w:rPr>
              <w:drawing>
                <wp:inline distT="0" distB="0" distL="0" distR="0">
                  <wp:extent cx="655320" cy="1098550"/>
                  <wp:effectExtent l="0" t="0" r="11430" b="6350"/>
                  <wp:docPr id="64" name="IM 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 64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5320" cy="1098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before="113" w:line="203" w:lineRule="auto"/>
              <w:ind w:left="37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黄色样本模型</w:t>
            </w:r>
          </w:p>
        </w:tc>
        <w:tc>
          <w:tcPr>
            <w:tcW w:w="2095" w:type="dxa"/>
            <w:tcBorders>
              <w:left w:val="nil"/>
              <w:bottom w:val="nil"/>
            </w:tcBorders>
            <w:vAlign w:val="top"/>
          </w:tcPr>
          <w:p>
            <w:pPr>
              <w:spacing w:before="99" w:line="1692" w:lineRule="exact"/>
              <w:ind w:firstLine="372"/>
            </w:pPr>
            <w:r>
              <w:rPr>
                <w:position w:val="-33"/>
              </w:rPr>
              <w:drawing>
                <wp:inline distT="0" distB="0" distL="0" distR="0">
                  <wp:extent cx="641350" cy="1074420"/>
                  <wp:effectExtent l="0" t="0" r="6350" b="11430"/>
                  <wp:docPr id="66" name="IM 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 66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1603" cy="1074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before="120" w:line="203" w:lineRule="auto"/>
              <w:ind w:left="31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紫色样本模型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166" w:type="dxa"/>
            <w:vMerge w:val="continue"/>
            <w:tcBorders>
              <w:top w:val="nil"/>
            </w:tcBorders>
            <w:vAlign w:val="top"/>
          </w:tcPr>
          <w:p>
            <w:pPr>
              <w:pStyle w:val="7"/>
            </w:pPr>
          </w:p>
        </w:tc>
        <w:tc>
          <w:tcPr>
            <w:tcW w:w="4207" w:type="dxa"/>
            <w:gridSpan w:val="2"/>
            <w:tcBorders>
              <w:top w:val="nil"/>
            </w:tcBorders>
            <w:vAlign w:val="top"/>
          </w:tcPr>
          <w:p>
            <w:pPr>
              <w:spacing w:before="39" w:line="206" w:lineRule="auto"/>
              <w:ind w:left="28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硬质材料，8cm×4cm×3cm，重</w:t>
            </w:r>
            <w:r>
              <w:rPr>
                <w:rFonts w:ascii="仿宋" w:hAnsi="仿宋" w:eastAsia="仿宋" w:cs="仿宋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50g</w:t>
            </w:r>
          </w:p>
        </w:tc>
      </w:tr>
    </w:tbl>
    <w:p>
      <w:pPr>
        <w:pStyle w:val="2"/>
        <w:spacing w:before="172" w:line="223" w:lineRule="auto"/>
        <w:ind w:left="691"/>
      </w:pPr>
      <w:r>
        <w:rPr>
          <w:spacing w:val="-3"/>
        </w:rPr>
        <w:t>（4）取药送药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6" w:line="624" w:lineRule="exact"/>
        <w:ind w:firstLine="564" w:firstLineChars="200"/>
        <w:textAlignment w:val="baseline"/>
      </w:pPr>
      <w:r>
        <w:rPr>
          <w:spacing w:val="1"/>
          <w:position w:val="26"/>
        </w:rPr>
        <w:t>机器人获取1个药物模型后，运送至病房药物摆放区且药物</w:t>
      </w:r>
      <w:r>
        <w:rPr>
          <w:rFonts w:hint="eastAsia"/>
          <w:spacing w:val="1"/>
          <w:position w:val="26"/>
          <w:lang w:val="en-US" w:eastAsia="zh-CN"/>
        </w:rPr>
        <w:t>模型部分垂直投影在区域内视为成功，示意图如下：</w:t>
      </w:r>
    </w:p>
    <w:tbl>
      <w:tblPr>
        <w:tblStyle w:val="6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24"/>
        <w:gridCol w:w="415"/>
        <w:gridCol w:w="428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1" w:hRule="atLeast"/>
        </w:trPr>
        <w:tc>
          <w:tcPr>
            <w:tcW w:w="3824" w:type="dxa"/>
            <w:vAlign w:val="top"/>
          </w:tcPr>
          <w:p>
            <w:pPr>
              <w:spacing w:before="122" w:line="1946" w:lineRule="exact"/>
              <w:ind w:firstLine="455"/>
            </w:pPr>
            <w:r>
              <w:rPr>
                <w:position w:val="-38"/>
              </w:rPr>
              <w:drawing>
                <wp:inline distT="0" distB="0" distL="0" distR="0">
                  <wp:extent cx="1828800" cy="1235710"/>
                  <wp:effectExtent l="0" t="0" r="0" b="2540"/>
                  <wp:docPr id="68" name="IM 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 68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0" cy="12359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02" w:type="dxa"/>
            <w:gridSpan w:val="2"/>
            <w:vAlign w:val="top"/>
          </w:tcPr>
          <w:p>
            <w:pPr>
              <w:spacing w:before="11" w:line="1855" w:lineRule="exact"/>
              <w:ind w:firstLine="1448"/>
            </w:pPr>
            <w:r>
              <w:rPr>
                <w:position w:val="-37"/>
              </w:rPr>
              <w:drawing>
                <wp:inline distT="0" distB="0" distL="0" distR="0">
                  <wp:extent cx="1125855" cy="1177925"/>
                  <wp:effectExtent l="0" t="0" r="17145" b="3175"/>
                  <wp:docPr id="70" name="IM 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 70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6235" cy="11780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before="46" w:line="206" w:lineRule="auto"/>
              <w:ind w:left="134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药物摆放区A、B、C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9" w:hRule="atLeast"/>
        </w:trPr>
        <w:tc>
          <w:tcPr>
            <w:tcW w:w="4239" w:type="dxa"/>
            <w:gridSpan w:val="2"/>
            <w:tcBorders>
              <w:bottom w:val="nil"/>
              <w:right w:val="nil"/>
            </w:tcBorders>
            <w:vAlign w:val="top"/>
          </w:tcPr>
          <w:p>
            <w:pPr>
              <w:spacing w:before="167" w:line="1241" w:lineRule="exact"/>
              <w:ind w:firstLine="2999"/>
            </w:pPr>
            <w:r>
              <w:rPr>
                <w:position w:val="-24"/>
              </w:rPr>
              <w:drawing>
                <wp:inline distT="0" distB="0" distL="0" distR="0">
                  <wp:extent cx="713105" cy="787400"/>
                  <wp:effectExtent l="0" t="0" r="10795" b="12700"/>
                  <wp:docPr id="72" name="IM 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 72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232" cy="7879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7" w:type="dxa"/>
            <w:tcBorders>
              <w:left w:val="nil"/>
              <w:bottom w:val="nil"/>
            </w:tcBorders>
            <w:vAlign w:val="top"/>
          </w:tcPr>
          <w:p>
            <w:pPr>
              <w:spacing w:before="139" w:line="1260" w:lineRule="exact"/>
              <w:ind w:firstLine="114"/>
            </w:pPr>
            <w:r>
              <w:rPr>
                <w:position w:val="-25"/>
              </w:rPr>
              <w:drawing>
                <wp:inline distT="0" distB="0" distL="0" distR="0">
                  <wp:extent cx="737235" cy="800100"/>
                  <wp:effectExtent l="0" t="0" r="5715" b="0"/>
                  <wp:docPr id="74" name="IM 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 74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7615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8526" w:type="dxa"/>
            <w:gridSpan w:val="3"/>
            <w:tcBorders>
              <w:top w:val="nil"/>
            </w:tcBorders>
            <w:vAlign w:val="top"/>
          </w:tcPr>
          <w:p>
            <w:pPr>
              <w:spacing w:before="100" w:line="207" w:lineRule="auto"/>
              <w:ind w:left="205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药物模型：硬质材料，4cm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立方体，重</w:t>
            </w:r>
            <w:r>
              <w:rPr>
                <w:rFonts w:ascii="仿宋" w:hAnsi="仿宋" w:eastAsia="仿宋" w:cs="仿宋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40g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1" w:line="224" w:lineRule="auto"/>
        <w:ind w:left="692"/>
        <w:textAlignment w:val="baseline"/>
      </w:pPr>
      <w:r>
        <w:rPr>
          <w:spacing w:val="-3"/>
        </w:rPr>
        <w:t>（5）病房协助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6" w:line="624" w:lineRule="exact"/>
        <w:ind w:firstLine="544" w:firstLineChars="200"/>
        <w:textAlignment w:val="baseline"/>
      </w:pPr>
      <w:r>
        <w:rPr>
          <w:spacing w:val="-4"/>
          <w:position w:val="25"/>
        </w:rPr>
        <w:t>机器人无亮灯状态识别手势模型后按下绿色按钮，再依据手势亮</w:t>
      </w:r>
      <w:r>
        <w:rPr>
          <w:rFonts w:hint="eastAsia"/>
          <w:spacing w:val="-4"/>
          <w:position w:val="25"/>
          <w:lang w:val="en-US" w:eastAsia="zh-CN"/>
        </w:rPr>
        <w:t>起对应颜色的灯（拳头亮绿灯，手掌亮红灯）视为成功，示意图如下：</w:t>
      </w:r>
    </w:p>
    <w:p>
      <w:pPr>
        <w:spacing w:line="115" w:lineRule="exact"/>
      </w:pPr>
    </w:p>
    <w:tbl>
      <w:tblPr>
        <w:tblStyle w:val="6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53"/>
        <w:gridCol w:w="585"/>
        <w:gridCol w:w="448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1" w:hRule="atLeast"/>
        </w:trPr>
        <w:tc>
          <w:tcPr>
            <w:tcW w:w="3453" w:type="dxa"/>
            <w:vAlign w:val="top"/>
          </w:tcPr>
          <w:p>
            <w:pPr>
              <w:spacing w:before="152" w:line="1877" w:lineRule="exact"/>
              <w:ind w:firstLine="825"/>
            </w:pPr>
            <w:r>
              <w:rPr>
                <w:position w:val="-37"/>
              </w:rPr>
              <w:drawing>
                <wp:inline distT="0" distB="0" distL="0" distR="0">
                  <wp:extent cx="1124585" cy="1191260"/>
                  <wp:effectExtent l="0" t="0" r="18415" b="8890"/>
                  <wp:docPr id="76" name="IM 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 76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4711" cy="11917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73" w:type="dxa"/>
            <w:gridSpan w:val="2"/>
            <w:vAlign w:val="top"/>
          </w:tcPr>
          <w:p>
            <w:pPr>
              <w:spacing w:before="197" w:line="1791" w:lineRule="exact"/>
              <w:ind w:firstLine="583"/>
            </w:pPr>
            <w:r>
              <w:rPr>
                <w:position w:val="-35"/>
              </w:rPr>
              <w:drawing>
                <wp:inline distT="0" distB="0" distL="0" distR="0">
                  <wp:extent cx="2474595" cy="1136650"/>
                  <wp:effectExtent l="0" t="0" r="1905" b="6350"/>
                  <wp:docPr id="78" name="IM 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 78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4976" cy="11369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3" w:hRule="atLeast"/>
        </w:trPr>
        <w:tc>
          <w:tcPr>
            <w:tcW w:w="4038" w:type="dxa"/>
            <w:gridSpan w:val="2"/>
            <w:tcBorders>
              <w:bottom w:val="nil"/>
              <w:right w:val="nil"/>
            </w:tcBorders>
            <w:vAlign w:val="top"/>
          </w:tcPr>
          <w:p>
            <w:pPr>
              <w:spacing w:before="109" w:line="1341" w:lineRule="exact"/>
              <w:ind w:firstLine="2805"/>
            </w:pPr>
            <w:r>
              <w:rPr>
                <w:position w:val="-26"/>
              </w:rPr>
              <w:drawing>
                <wp:inline distT="0" distB="0" distL="0" distR="0">
                  <wp:extent cx="779780" cy="851535"/>
                  <wp:effectExtent l="0" t="0" r="1270" b="5715"/>
                  <wp:docPr id="80" name="IM 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 80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0288" cy="8519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8" w:type="dxa"/>
            <w:tcBorders>
              <w:left w:val="nil"/>
              <w:bottom w:val="nil"/>
            </w:tcBorders>
            <w:vAlign w:val="top"/>
          </w:tcPr>
          <w:p>
            <w:pPr>
              <w:spacing w:before="109" w:line="1346" w:lineRule="exact"/>
              <w:ind w:firstLine="421"/>
            </w:pPr>
            <w:r>
              <w:rPr>
                <w:position w:val="-26"/>
              </w:rPr>
              <w:drawing>
                <wp:inline distT="0" distB="0" distL="0" distR="0">
                  <wp:extent cx="798195" cy="854710"/>
                  <wp:effectExtent l="0" t="0" r="1905" b="2540"/>
                  <wp:docPr id="82" name="IM 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 82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8576" cy="8549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8526" w:type="dxa"/>
            <w:gridSpan w:val="3"/>
            <w:tcBorders>
              <w:top w:val="nil"/>
            </w:tcBorders>
            <w:vAlign w:val="top"/>
          </w:tcPr>
          <w:p>
            <w:pPr>
              <w:spacing w:before="78" w:line="206" w:lineRule="auto"/>
              <w:ind w:left="178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手势模型：硬质材料，8cm×8cm×3cm，重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100g</w:t>
            </w:r>
          </w:p>
        </w:tc>
      </w:tr>
    </w:tbl>
    <w:p>
      <w:pPr>
        <w:pStyle w:val="2"/>
        <w:spacing w:before="173" w:line="224" w:lineRule="auto"/>
        <w:ind w:left="691"/>
      </w:pPr>
      <w:r>
        <w:rPr>
          <w:spacing w:val="-3"/>
        </w:rPr>
        <w:t>（6）返回出发区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4" w:line="624" w:lineRule="exact"/>
        <w:ind w:firstLine="544" w:firstLineChars="200"/>
        <w:textAlignment w:val="baseline"/>
      </w:pPr>
      <w:r>
        <w:rPr>
          <w:spacing w:val="-4"/>
          <w:position w:val="26"/>
        </w:rPr>
        <w:t>机器人返回出发区静止，前端朝向黄色轨迹线且垂直投影全部在</w:t>
      </w:r>
      <w:r>
        <w:rPr>
          <w:rFonts w:hint="eastAsia"/>
          <w:spacing w:val="-4"/>
          <w:position w:val="26"/>
          <w:lang w:val="en-US" w:eastAsia="zh-CN"/>
        </w:rPr>
        <w:t>区域内视为成功，示意图如下：</w:t>
      </w:r>
    </w:p>
    <w:tbl>
      <w:tblPr>
        <w:tblStyle w:val="6"/>
        <w:tblW w:w="8516" w:type="dxa"/>
        <w:tblInd w:w="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1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0" w:hRule="atLeast"/>
        </w:trPr>
        <w:tc>
          <w:tcPr>
            <w:tcW w:w="8516" w:type="dxa"/>
            <w:vAlign w:val="top"/>
          </w:tcPr>
          <w:p>
            <w:pPr>
              <w:spacing w:before="115" w:line="1783" w:lineRule="exact"/>
              <w:ind w:firstLine="3430"/>
            </w:pPr>
            <w:r>
              <w:rPr>
                <w:position w:val="-35"/>
              </w:rPr>
              <w:drawing>
                <wp:inline distT="0" distB="0" distL="0" distR="0">
                  <wp:extent cx="1033145" cy="1132205"/>
                  <wp:effectExtent l="0" t="0" r="14605" b="10795"/>
                  <wp:docPr id="84" name="IM 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 84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271" cy="11323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ascii="Arial"/>
          <w:sz w:val="21"/>
        </w:rPr>
      </w:pPr>
    </w:p>
    <w:p>
      <w:pPr>
        <w:spacing w:line="387" w:lineRule="auto"/>
        <w:rPr>
          <w:rFonts w:ascii="Arial"/>
          <w:sz w:val="21"/>
        </w:rPr>
      </w:pPr>
    </w:p>
    <w:p>
      <w:pPr>
        <w:pStyle w:val="2"/>
        <w:spacing w:before="91" w:line="224" w:lineRule="auto"/>
        <w:ind w:left="654"/>
        <w:rPr>
          <w:spacing w:val="-3"/>
        </w:rPr>
      </w:pPr>
    </w:p>
    <w:p>
      <w:pPr>
        <w:pStyle w:val="2"/>
        <w:spacing w:before="91" w:line="224" w:lineRule="auto"/>
        <w:ind w:left="654"/>
        <w:rPr>
          <w:spacing w:val="-3"/>
        </w:rPr>
      </w:pPr>
    </w:p>
    <w:p>
      <w:pPr>
        <w:pStyle w:val="2"/>
        <w:spacing w:before="91" w:line="224" w:lineRule="auto"/>
        <w:ind w:left="654"/>
        <w:rPr>
          <w:spacing w:val="-3"/>
        </w:rPr>
      </w:pPr>
    </w:p>
    <w:p>
      <w:pPr>
        <w:pStyle w:val="2"/>
        <w:spacing w:before="91" w:line="224" w:lineRule="auto"/>
        <w:ind w:left="654"/>
        <w:rPr>
          <w:spacing w:val="-3"/>
        </w:rPr>
      </w:pPr>
    </w:p>
    <w:p>
      <w:pPr>
        <w:pStyle w:val="2"/>
        <w:spacing w:before="91" w:line="224" w:lineRule="auto"/>
        <w:ind w:left="654"/>
      </w:pPr>
      <w:r>
        <w:rPr>
          <w:spacing w:val="-3"/>
        </w:rPr>
        <w:t>3.任务变量</w:t>
      </w:r>
    </w:p>
    <w:p>
      <w:pPr>
        <w:pStyle w:val="2"/>
        <w:spacing w:before="284" w:line="624" w:lineRule="exact"/>
        <w:ind w:right="79"/>
        <w:jc w:val="right"/>
      </w:pPr>
      <w:r>
        <w:rPr>
          <w:spacing w:val="1"/>
          <w:position w:val="26"/>
        </w:rPr>
        <w:t>（1）清理垃圾任务中，垃圾模型A和B的摆放位置由裁判在</w:t>
      </w:r>
      <w:r>
        <w:rPr>
          <w:position w:val="26"/>
        </w:rPr>
        <w:t>编程</w:t>
      </w:r>
    </w:p>
    <w:p>
      <w:pPr>
        <w:pStyle w:val="2"/>
        <w:spacing w:before="1" w:line="220" w:lineRule="auto"/>
        <w:ind w:left="101"/>
      </w:pPr>
      <w:r>
        <w:rPr>
          <w:spacing w:val="-4"/>
        </w:rPr>
        <w:t>前现场公布。</w:t>
      </w:r>
    </w:p>
    <w:p>
      <w:pPr>
        <w:pStyle w:val="2"/>
        <w:spacing w:before="289" w:line="624" w:lineRule="exact"/>
        <w:ind w:right="79"/>
        <w:jc w:val="right"/>
      </w:pPr>
      <w:r>
        <w:rPr>
          <w:spacing w:val="1"/>
          <w:position w:val="26"/>
        </w:rPr>
        <w:t>（2）病人导诊任务中，识别二维码模型1或2由裁判在编程</w:t>
      </w:r>
      <w:r>
        <w:rPr>
          <w:position w:val="26"/>
        </w:rPr>
        <w:t>前现</w:t>
      </w:r>
    </w:p>
    <w:p>
      <w:pPr>
        <w:pStyle w:val="2"/>
        <w:spacing w:before="1" w:line="220" w:lineRule="auto"/>
        <w:ind w:left="99"/>
      </w:pPr>
      <w:r>
        <w:rPr>
          <w:spacing w:val="-5"/>
        </w:rPr>
        <w:t>场公布。</w:t>
      </w:r>
    </w:p>
    <w:p>
      <w:pPr>
        <w:pStyle w:val="2"/>
        <w:spacing w:before="289" w:line="624" w:lineRule="exact"/>
        <w:ind w:right="79"/>
        <w:jc w:val="right"/>
      </w:pPr>
      <w:r>
        <w:rPr>
          <w:spacing w:val="1"/>
          <w:position w:val="26"/>
        </w:rPr>
        <w:t>（3）送样检测任务中，识别样本模型紫色或黄色由裁判在编程</w:t>
      </w:r>
    </w:p>
    <w:p>
      <w:pPr>
        <w:pStyle w:val="2"/>
        <w:spacing w:before="1" w:line="220" w:lineRule="auto"/>
        <w:ind w:left="101"/>
      </w:pPr>
      <w:r>
        <w:rPr>
          <w:spacing w:val="-4"/>
        </w:rPr>
        <w:t>前现场公布。</w:t>
      </w:r>
    </w:p>
    <w:p>
      <w:pPr>
        <w:pStyle w:val="2"/>
        <w:spacing w:before="289" w:line="624" w:lineRule="exact"/>
        <w:ind w:right="79"/>
        <w:jc w:val="right"/>
      </w:pPr>
      <w:r>
        <w:rPr>
          <w:spacing w:val="-4"/>
          <w:position w:val="26"/>
        </w:rPr>
        <w:t>（4）取药送药任务中，药物摆放区位置A或B或C由裁判在编程前</w:t>
      </w:r>
    </w:p>
    <w:p>
      <w:pPr>
        <w:pStyle w:val="2"/>
        <w:spacing w:before="1" w:line="220" w:lineRule="auto"/>
        <w:ind w:left="97"/>
      </w:pPr>
      <w:r>
        <w:rPr>
          <w:spacing w:val="-4"/>
        </w:rPr>
        <w:t>现场公布。</w:t>
      </w:r>
    </w:p>
    <w:p>
      <w:pPr>
        <w:pStyle w:val="2"/>
        <w:spacing w:before="289" w:line="624" w:lineRule="exact"/>
        <w:ind w:right="91"/>
        <w:jc w:val="right"/>
      </w:pPr>
      <w:r>
        <w:rPr>
          <w:spacing w:val="11"/>
          <w:position w:val="26"/>
        </w:rPr>
        <w:t>（5）病房协助任务中，手势模型手掌或拳头由裁判在编</w:t>
      </w:r>
      <w:r>
        <w:rPr>
          <w:spacing w:val="10"/>
          <w:position w:val="26"/>
        </w:rPr>
        <w:t>程前</w:t>
      </w:r>
    </w:p>
    <w:p>
      <w:pPr>
        <w:pStyle w:val="2"/>
        <w:spacing w:before="2" w:line="220" w:lineRule="auto"/>
        <w:ind w:left="97"/>
      </w:pPr>
      <w:r>
        <w:rPr>
          <w:spacing w:val="3"/>
        </w:rPr>
        <w:t>现场公布。</w:t>
      </w:r>
    </w:p>
    <w:p>
      <w:pPr>
        <w:pStyle w:val="2"/>
        <w:spacing w:before="288" w:line="224" w:lineRule="auto"/>
        <w:ind w:left="518"/>
      </w:pPr>
      <w:r>
        <w:rPr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hint="eastAsia"/>
          <w:spacing w:val="-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二</w:t>
      </w:r>
      <w:r>
        <w:rPr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）用时与次数</w:t>
      </w:r>
    </w:p>
    <w:p>
      <w:pPr>
        <w:spacing w:line="113" w:lineRule="exact"/>
      </w:pPr>
    </w:p>
    <w:tbl>
      <w:tblPr>
        <w:tblStyle w:val="6"/>
        <w:tblW w:w="846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4"/>
        <w:gridCol w:w="2338"/>
        <w:gridCol w:w="2018"/>
        <w:gridCol w:w="181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2294" w:type="dxa"/>
            <w:vAlign w:val="top"/>
          </w:tcPr>
          <w:p>
            <w:pPr>
              <w:spacing w:before="118" w:line="223" w:lineRule="auto"/>
              <w:ind w:left="91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9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组别</w:t>
            </w:r>
          </w:p>
        </w:tc>
        <w:tc>
          <w:tcPr>
            <w:tcW w:w="2338" w:type="dxa"/>
            <w:vAlign w:val="top"/>
          </w:tcPr>
          <w:p>
            <w:pPr>
              <w:spacing w:before="118" w:line="223" w:lineRule="auto"/>
              <w:ind w:left="21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现场编程调试时长</w:t>
            </w:r>
          </w:p>
        </w:tc>
        <w:tc>
          <w:tcPr>
            <w:tcW w:w="2018" w:type="dxa"/>
            <w:vAlign w:val="top"/>
          </w:tcPr>
          <w:p>
            <w:pPr>
              <w:spacing w:before="118" w:line="223" w:lineRule="auto"/>
              <w:ind w:left="29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规定任务时长</w:t>
            </w:r>
          </w:p>
        </w:tc>
        <w:tc>
          <w:tcPr>
            <w:tcW w:w="1810" w:type="dxa"/>
            <w:vAlign w:val="top"/>
          </w:tcPr>
          <w:p>
            <w:pPr>
              <w:spacing w:before="118" w:line="223" w:lineRule="auto"/>
              <w:ind w:left="19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规定任务次数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2294" w:type="dxa"/>
            <w:vAlign w:val="top"/>
          </w:tcPr>
          <w:p>
            <w:pPr>
              <w:spacing w:before="118" w:line="222" w:lineRule="auto"/>
              <w:ind w:left="801" w:leftChars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  <w:lang w:val="en-US" w:eastAsia="zh-CN"/>
              </w:rPr>
              <w:t>高中</w:t>
            </w: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组</w:t>
            </w:r>
          </w:p>
        </w:tc>
        <w:tc>
          <w:tcPr>
            <w:tcW w:w="2338" w:type="dxa"/>
            <w:vAlign w:val="top"/>
          </w:tcPr>
          <w:p>
            <w:pPr>
              <w:spacing w:before="117" w:line="224" w:lineRule="auto"/>
              <w:ind w:left="786" w:leftChars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60</w:t>
            </w:r>
            <w:r>
              <w:rPr>
                <w:rFonts w:ascii="仿宋" w:hAnsi="仿宋" w:eastAsia="仿宋" w:cs="仿宋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分钟</w:t>
            </w:r>
          </w:p>
        </w:tc>
        <w:tc>
          <w:tcPr>
            <w:tcW w:w="2018" w:type="dxa"/>
            <w:vAlign w:val="top"/>
          </w:tcPr>
          <w:p>
            <w:pPr>
              <w:spacing w:before="118" w:line="222" w:lineRule="auto"/>
              <w:ind w:left="508" w:leftChars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210</w:t>
            </w:r>
            <w:r>
              <w:rPr>
                <w:rFonts w:ascii="仿宋" w:hAnsi="仿宋" w:eastAsia="仿宋" w:cs="仿宋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秒/次</w:t>
            </w:r>
          </w:p>
        </w:tc>
        <w:tc>
          <w:tcPr>
            <w:tcW w:w="1810" w:type="dxa"/>
            <w:vAlign w:val="top"/>
          </w:tcPr>
          <w:p>
            <w:pPr>
              <w:spacing w:before="117" w:line="223" w:lineRule="auto"/>
              <w:ind w:left="703" w:leftChars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2</w:t>
            </w:r>
            <w:r>
              <w:rPr>
                <w:rFonts w:ascii="仿宋" w:hAnsi="仿宋" w:eastAsia="仿宋" w:cs="仿宋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2294" w:type="dxa"/>
            <w:vAlign w:val="top"/>
          </w:tcPr>
          <w:p>
            <w:pPr>
              <w:spacing w:before="117" w:line="222" w:lineRule="auto"/>
              <w:ind w:left="441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38" w:type="dxa"/>
            <w:vAlign w:val="top"/>
          </w:tcPr>
          <w:p>
            <w:pPr>
              <w:spacing w:before="116" w:line="224" w:lineRule="auto"/>
              <w:ind w:left="786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18" w:type="dxa"/>
            <w:vAlign w:val="top"/>
          </w:tcPr>
          <w:p>
            <w:pPr>
              <w:spacing w:before="117" w:line="222" w:lineRule="auto"/>
              <w:ind w:left="523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10" w:type="dxa"/>
            <w:vAlign w:val="top"/>
          </w:tcPr>
          <w:p>
            <w:pPr>
              <w:spacing w:before="117" w:line="223" w:lineRule="auto"/>
              <w:ind w:left="703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8460" w:type="dxa"/>
            <w:gridSpan w:val="4"/>
            <w:vAlign w:val="top"/>
          </w:tcPr>
          <w:p>
            <w:pPr>
              <w:spacing w:before="119" w:line="468" w:lineRule="exact"/>
              <w:ind w:left="13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position w:val="17"/>
                <w:sz w:val="24"/>
                <w:szCs w:val="24"/>
              </w:rPr>
              <w:t>1.现场编程调试时长：各组别所有参赛队伍统一进行编程与调试的有效时间。</w:t>
            </w:r>
          </w:p>
          <w:p>
            <w:pPr>
              <w:spacing w:line="222" w:lineRule="auto"/>
              <w:ind w:left="11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2.规定任务时长：机器人完成每次规定任务的有效时间。</w:t>
            </w:r>
          </w:p>
        </w:tc>
      </w:tr>
    </w:tbl>
    <w:p>
      <w:pPr>
        <w:pStyle w:val="2"/>
        <w:spacing w:before="163" w:line="220" w:lineRule="auto"/>
        <w:rPr>
          <w:spacing w:val="-3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3" w:line="221" w:lineRule="auto"/>
        <w:ind w:left="108" w:firstLine="588" w:firstLineChars="200"/>
        <w:textAlignment w:val="baseline"/>
        <w:rPr>
          <w:sz w:val="30"/>
          <w:szCs w:val="30"/>
        </w:rPr>
      </w:pPr>
      <w:r>
        <w:rPr>
          <w:rFonts w:hint="eastAsia"/>
          <w:spacing w:val="-3"/>
          <w:sz w:val="30"/>
          <w:szCs w:val="30"/>
          <w:lang w:val="en-US" w:eastAsia="zh-CN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六</w:t>
      </w:r>
      <w:r>
        <w:rPr>
          <w:spacing w:val="-3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、运行与结束</w:t>
      </w:r>
    </w:p>
    <w:p>
      <w:pPr>
        <w:pStyle w:val="2"/>
        <w:spacing w:before="275" w:line="222" w:lineRule="auto"/>
        <w:ind w:left="658"/>
      </w:pPr>
      <w:r>
        <w:rPr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（一）机器人运行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8" w:line="624" w:lineRule="exact"/>
        <w:ind w:right="79" w:firstLine="544" w:firstLineChars="200"/>
        <w:jc w:val="both"/>
        <w:textAlignment w:val="baseline"/>
        <w:rPr>
          <w:rFonts w:hint="eastAsia" w:eastAsia="仿宋"/>
          <w:spacing w:val="-5"/>
          <w:position w:val="26"/>
          <w:lang w:eastAsia="zh-CN"/>
        </w:rPr>
      </w:pPr>
      <w:r>
        <w:rPr>
          <w:spacing w:val="-4"/>
          <w:position w:val="26"/>
        </w:rPr>
        <w:t>1.机器人检录后不得更换，编程调试后统一</w:t>
      </w:r>
      <w:r>
        <w:rPr>
          <w:spacing w:val="-5"/>
          <w:position w:val="26"/>
        </w:rPr>
        <w:t>放置到裁判指定区域</w:t>
      </w:r>
      <w:r>
        <w:rPr>
          <w:rFonts w:hint="eastAsia"/>
          <w:spacing w:val="-5"/>
          <w:position w:val="26"/>
          <w:lang w:eastAsia="zh-CN"/>
        </w:rPr>
        <w:t>进行封存并贴上标签，不得再次编程调试。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8" w:line="624" w:lineRule="exact"/>
        <w:ind w:right="79" w:firstLine="544" w:firstLineChars="200"/>
        <w:jc w:val="left"/>
        <w:textAlignment w:val="baseline"/>
        <w:rPr>
          <w:rFonts w:ascii="Arial"/>
          <w:sz w:val="21"/>
        </w:rPr>
      </w:pPr>
      <w:r>
        <w:rPr>
          <w:spacing w:val="-4"/>
          <w:position w:val="26"/>
        </w:rPr>
        <w:t>2.机器人启动前须静止，允许采用“按下按钮 ”或“给传感器信</w:t>
      </w:r>
      <w:r>
        <w:rPr>
          <w:rFonts w:hint="eastAsia"/>
          <w:spacing w:val="-4"/>
          <w:position w:val="26"/>
          <w:lang w:val="en-US" w:eastAsia="zh-CN"/>
        </w:rPr>
        <w:t>号”的方式进行启动，机器人启动后自主运行。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7" w:line="624" w:lineRule="exact"/>
        <w:ind w:right="83" w:firstLine="548" w:firstLineChars="200"/>
        <w:jc w:val="both"/>
        <w:textAlignment w:val="baseline"/>
        <w:rPr>
          <w:rFonts w:hint="eastAsia" w:eastAsia="仿宋"/>
          <w:spacing w:val="-4"/>
          <w:position w:val="25"/>
          <w:lang w:eastAsia="zh-CN"/>
        </w:rPr>
      </w:pPr>
      <w:r>
        <w:rPr>
          <w:spacing w:val="-3"/>
          <w:position w:val="25"/>
        </w:rPr>
        <w:t>3.同组别所有机器人完成第一次规定任务后，再统一</w:t>
      </w:r>
      <w:r>
        <w:rPr>
          <w:spacing w:val="-4"/>
          <w:position w:val="25"/>
        </w:rPr>
        <w:t>完成第二次</w:t>
      </w:r>
      <w:r>
        <w:rPr>
          <w:rFonts w:hint="eastAsia"/>
          <w:spacing w:val="-4"/>
          <w:position w:val="25"/>
          <w:lang w:eastAsia="zh-CN"/>
        </w:rPr>
        <w:t>规定任务。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4" w:line="222" w:lineRule="auto"/>
        <w:ind w:firstLine="524" w:firstLineChars="200"/>
        <w:jc w:val="both"/>
        <w:textAlignment w:val="baseline"/>
      </w:pPr>
      <w:r>
        <w:rPr>
          <w:spacing w:val="-9"/>
        </w:rPr>
        <w:t>4.比赛任务执行过程中计时无暂停、任务</w:t>
      </w:r>
      <w:r>
        <w:rPr>
          <w:spacing w:val="-10"/>
        </w:rPr>
        <w:t>无重试、机器人无重启。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8" w:line="624" w:lineRule="exact"/>
        <w:ind w:right="85" w:firstLine="512" w:firstLineChars="200"/>
        <w:jc w:val="both"/>
        <w:textAlignment w:val="baseline"/>
        <w:rPr>
          <w:spacing w:val="-12"/>
          <w:position w:val="26"/>
        </w:rPr>
      </w:pPr>
      <w:r>
        <w:rPr>
          <w:spacing w:val="-12"/>
          <w:position w:val="26"/>
        </w:rPr>
        <w:t>5.比赛任务执行过程中机器人如发生结构件脱落，在不影响机器人</w:t>
      </w:r>
      <w:r>
        <w:rPr>
          <w:rFonts w:hint="eastAsia"/>
          <w:spacing w:val="-12"/>
          <w:position w:val="26"/>
          <w:lang w:eastAsia="zh-CN"/>
        </w:rPr>
        <w:t>正常运行的情况下，参赛选手可请求裁判帮助取回脱落件。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9" w:line="624" w:lineRule="exact"/>
        <w:ind w:right="85" w:firstLine="512" w:firstLineChars="200"/>
        <w:jc w:val="both"/>
        <w:textAlignment w:val="baseline"/>
        <w:rPr>
          <w:rFonts w:hint="eastAsia" w:eastAsia="仿宋"/>
          <w:spacing w:val="-12"/>
          <w:position w:val="26"/>
          <w:lang w:eastAsia="zh-CN"/>
        </w:rPr>
      </w:pPr>
      <w:r>
        <w:rPr>
          <w:spacing w:val="-12"/>
          <w:position w:val="26"/>
        </w:rPr>
        <w:t>6.比赛任务执行过程中不得更换机器人，不可以对机器人软硬件进</w:t>
      </w:r>
      <w:r>
        <w:rPr>
          <w:rFonts w:hint="eastAsia"/>
          <w:spacing w:val="-12"/>
          <w:position w:val="26"/>
          <w:lang w:eastAsia="zh-CN"/>
        </w:rPr>
        <w:t>行变更。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9" w:line="222" w:lineRule="auto"/>
        <w:ind w:firstLine="556" w:firstLineChars="200"/>
        <w:textAlignment w:val="baseline"/>
      </w:pPr>
      <w:r>
        <w:rPr>
          <w:spacing w:val="-1"/>
        </w:rPr>
        <w:t>7.裁判现场确定比赛顺序，两次比赛顺序相同。</w:t>
      </w:r>
    </w:p>
    <w:p>
      <w:pPr>
        <w:pStyle w:val="2"/>
        <w:spacing w:before="286" w:line="221" w:lineRule="auto"/>
        <w:ind w:left="612"/>
      </w:pPr>
      <w:r>
        <w:rPr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（二）比赛结束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9" w:line="221" w:lineRule="auto"/>
        <w:ind w:firstLine="524" w:firstLineChars="200"/>
        <w:textAlignment w:val="baseline"/>
      </w:pPr>
      <w:r>
        <w:rPr>
          <w:spacing w:val="-9"/>
        </w:rPr>
        <w:t>1.规定任务时长结束。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9" w:line="223" w:lineRule="auto"/>
        <w:ind w:firstLine="528" w:firstLineChars="200"/>
        <w:textAlignment w:val="baseline"/>
      </w:pPr>
      <w:r>
        <w:rPr>
          <w:spacing w:val="-8"/>
        </w:rPr>
        <w:t>2.规定任务时长内完成所有任务。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5" w:line="222" w:lineRule="auto"/>
        <w:ind w:firstLine="540" w:firstLineChars="200"/>
        <w:textAlignment w:val="baseline"/>
      </w:pPr>
      <w:r>
        <w:rPr>
          <w:spacing w:val="-5"/>
        </w:rPr>
        <w:t>3.比赛任务执行过程中机器人发生侧翻或仰翻。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8" w:line="222" w:lineRule="auto"/>
        <w:ind w:firstLine="556" w:firstLineChars="200"/>
        <w:textAlignment w:val="baseline"/>
      </w:pPr>
      <w:r>
        <w:rPr>
          <w:spacing w:val="-1"/>
        </w:rPr>
        <w:t>4.比赛任务执行过程中参赛选手触碰到机器人的任意部位。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7" w:line="222" w:lineRule="auto"/>
        <w:ind w:firstLine="540" w:firstLineChars="200"/>
        <w:textAlignment w:val="baseline"/>
      </w:pPr>
      <w:r>
        <w:rPr>
          <w:spacing w:val="-5"/>
        </w:rPr>
        <w:t>5.比赛任务执行过程中机器人整体投影完全</w:t>
      </w:r>
      <w:r>
        <w:rPr>
          <w:spacing w:val="-6"/>
        </w:rPr>
        <w:t>脱离竞赛场地区域。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8" w:line="624" w:lineRule="exact"/>
        <w:ind w:right="92" w:firstLine="548" w:firstLineChars="200"/>
        <w:jc w:val="both"/>
        <w:textAlignment w:val="baseline"/>
        <w:rPr>
          <w:spacing w:val="-3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spacing w:val="-3"/>
          <w:position w:val="26"/>
        </w:rPr>
        <w:t>6.机器人出发区10秒内无法启动或行进过程中静止且10秒内没有</w:t>
      </w:r>
      <w:r>
        <w:rPr>
          <w:rFonts w:hint="eastAsia"/>
          <w:spacing w:val="-3"/>
          <w:position w:val="26"/>
          <w:lang w:eastAsia="zh-CN"/>
        </w:rPr>
        <w:t>动作的可能性。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1" w:line="224" w:lineRule="auto"/>
        <w:ind w:left="51" w:firstLine="588" w:firstLineChars="200"/>
        <w:textAlignment w:val="baseline"/>
        <w:rPr>
          <w:sz w:val="30"/>
          <w:szCs w:val="30"/>
        </w:rPr>
      </w:pPr>
      <w:r>
        <w:rPr>
          <w:rFonts w:hint="eastAsia"/>
          <w:spacing w:val="-3"/>
          <w:sz w:val="30"/>
          <w:szCs w:val="30"/>
          <w:lang w:val="en-US" w:eastAsia="zh-CN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七</w:t>
      </w:r>
      <w:r>
        <w:rPr>
          <w:spacing w:val="-3"/>
          <w:sz w:val="30"/>
          <w:szCs w:val="30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、评比标准</w:t>
      </w:r>
    </w:p>
    <w:p>
      <w:pPr>
        <w:pStyle w:val="2"/>
        <w:spacing w:before="272" w:line="223" w:lineRule="auto"/>
        <w:ind w:left="612"/>
      </w:pPr>
      <w:r>
        <w:rPr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（一）计分说明</w:t>
      </w:r>
    </w:p>
    <w:p>
      <w:pPr>
        <w:pStyle w:val="2"/>
        <w:spacing w:before="173" w:line="223" w:lineRule="auto"/>
        <w:ind w:left="329"/>
      </w:pPr>
      <w:r>
        <w:rPr>
          <w:rFonts w:hint="eastAsia"/>
          <w:spacing w:val="-2"/>
          <w:lang w:val="en-US" w:eastAsia="zh-CN"/>
        </w:rPr>
        <w:t>1</w:t>
      </w:r>
      <w:r>
        <w:rPr>
          <w:spacing w:val="-2"/>
        </w:rPr>
        <w:t>.初中组</w:t>
      </w:r>
    </w:p>
    <w:p>
      <w:pPr>
        <w:spacing w:line="113" w:lineRule="exact"/>
      </w:pPr>
    </w:p>
    <w:tbl>
      <w:tblPr>
        <w:tblStyle w:val="6"/>
        <w:tblW w:w="8361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6"/>
        <w:gridCol w:w="5381"/>
        <w:gridCol w:w="128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1696" w:type="dxa"/>
            <w:vAlign w:val="top"/>
          </w:tcPr>
          <w:p>
            <w:pPr>
              <w:spacing w:before="162" w:line="222" w:lineRule="auto"/>
              <w:ind w:left="61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指标</w:t>
            </w:r>
          </w:p>
        </w:tc>
        <w:tc>
          <w:tcPr>
            <w:tcW w:w="5381" w:type="dxa"/>
            <w:vAlign w:val="top"/>
          </w:tcPr>
          <w:p>
            <w:pPr>
              <w:spacing w:before="125" w:line="223" w:lineRule="auto"/>
              <w:ind w:left="246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描述</w:t>
            </w:r>
          </w:p>
        </w:tc>
        <w:tc>
          <w:tcPr>
            <w:tcW w:w="1284" w:type="dxa"/>
            <w:vAlign w:val="top"/>
          </w:tcPr>
          <w:p>
            <w:pPr>
              <w:spacing w:before="125" w:line="223" w:lineRule="auto"/>
              <w:ind w:left="41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0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696" w:type="dxa"/>
            <w:vAlign w:val="top"/>
          </w:tcPr>
          <w:p>
            <w:pPr>
              <w:spacing w:before="228" w:line="222" w:lineRule="auto"/>
              <w:ind w:left="38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清理垃圾</w:t>
            </w:r>
          </w:p>
        </w:tc>
        <w:tc>
          <w:tcPr>
            <w:tcW w:w="5381" w:type="dxa"/>
            <w:vAlign w:val="top"/>
          </w:tcPr>
          <w:p>
            <w:pPr>
              <w:spacing w:before="114" w:line="225" w:lineRule="auto"/>
              <w:ind w:left="118" w:hanging="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机器人将垃圾模型</w:t>
            </w:r>
            <w:r>
              <w:rPr>
                <w:rFonts w:ascii="仿宋" w:hAnsi="仿宋" w:eastAsia="仿宋" w:cs="仿宋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A</w:t>
            </w:r>
            <w:r>
              <w:rPr>
                <w:rFonts w:ascii="仿宋" w:hAnsi="仿宋" w:eastAsia="仿宋" w:cs="仿宋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和</w:t>
            </w:r>
            <w:r>
              <w:rPr>
                <w:rFonts w:ascii="仿宋" w:hAnsi="仿宋" w:eastAsia="仿宋" w:cs="仿宋"/>
                <w:spacing w:val="-5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B</w:t>
            </w:r>
            <w:r>
              <w:rPr>
                <w:rFonts w:ascii="仿宋" w:hAnsi="仿宋" w:eastAsia="仿宋" w:cs="仿宋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分别运送至垃圾处理中心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并放入对应字母的垃圾桶内。</w:t>
            </w:r>
          </w:p>
        </w:tc>
        <w:tc>
          <w:tcPr>
            <w:tcW w:w="1284" w:type="dxa"/>
            <w:vAlign w:val="top"/>
          </w:tcPr>
          <w:p>
            <w:pPr>
              <w:spacing w:before="270" w:line="223" w:lineRule="auto"/>
              <w:ind w:left="19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20</w:t>
            </w:r>
            <w:r>
              <w:rPr>
                <w:rFonts w:ascii="仿宋" w:hAnsi="仿宋" w:eastAsia="仿宋" w:cs="仿宋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分/个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1696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line="265" w:lineRule="auto"/>
            </w:pPr>
          </w:p>
          <w:p>
            <w:pPr>
              <w:pStyle w:val="7"/>
              <w:spacing w:line="265" w:lineRule="auto"/>
            </w:pPr>
          </w:p>
          <w:p>
            <w:pPr>
              <w:pStyle w:val="7"/>
              <w:spacing w:line="265" w:lineRule="auto"/>
            </w:pPr>
          </w:p>
          <w:p>
            <w:pPr>
              <w:pStyle w:val="7"/>
              <w:spacing w:line="265" w:lineRule="auto"/>
            </w:pPr>
          </w:p>
          <w:p>
            <w:pPr>
              <w:spacing w:before="78" w:line="223" w:lineRule="auto"/>
              <w:ind w:left="38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病人导诊</w:t>
            </w:r>
          </w:p>
        </w:tc>
        <w:tc>
          <w:tcPr>
            <w:tcW w:w="5381" w:type="dxa"/>
            <w:vAlign w:val="top"/>
          </w:tcPr>
          <w:p>
            <w:pPr>
              <w:spacing w:before="35" w:line="229" w:lineRule="auto"/>
              <w:ind w:left="12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机器人无亮灯状态识别二维码，亮对应颜色的灯后，</w:t>
            </w:r>
            <w:r>
              <w:rPr>
                <w:rFonts w:ascii="仿宋" w:hAnsi="仿宋" w:eastAsia="仿宋" w:cs="仿宋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z w:val="24"/>
                <w:szCs w:val="24"/>
              </w:rPr>
              <w:t>将候诊区病人模型运送至对应诊室的诊断区且病人</w:t>
            </w:r>
            <w:r>
              <w:rPr>
                <w:rFonts w:ascii="仿宋" w:hAnsi="仿宋" w:eastAsia="仿宋" w:cs="仿宋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模型垂直投影全部在区域内。</w:t>
            </w:r>
          </w:p>
        </w:tc>
        <w:tc>
          <w:tcPr>
            <w:tcW w:w="1284" w:type="dxa"/>
            <w:vAlign w:val="top"/>
          </w:tcPr>
          <w:p>
            <w:pPr>
              <w:pStyle w:val="7"/>
              <w:spacing w:line="306" w:lineRule="auto"/>
            </w:pPr>
          </w:p>
          <w:p>
            <w:pPr>
              <w:spacing w:before="78" w:line="224" w:lineRule="auto"/>
              <w:ind w:left="37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40</w:t>
            </w:r>
            <w:r>
              <w:rPr>
                <w:rFonts w:ascii="仿宋" w:hAnsi="仿宋" w:eastAsia="仿宋" w:cs="仿宋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169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7"/>
            </w:pPr>
          </w:p>
        </w:tc>
        <w:tc>
          <w:tcPr>
            <w:tcW w:w="5381" w:type="dxa"/>
            <w:vAlign w:val="top"/>
          </w:tcPr>
          <w:p>
            <w:pPr>
              <w:spacing w:before="35" w:line="229" w:lineRule="auto"/>
              <w:ind w:left="13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机器人无亮灯状态识别二维码，亮对应颜色的灯后，</w:t>
            </w:r>
            <w:r>
              <w:rPr>
                <w:rFonts w:ascii="仿宋" w:hAnsi="仿宋" w:eastAsia="仿宋" w:cs="仿宋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z w:val="24"/>
                <w:szCs w:val="24"/>
              </w:rPr>
              <w:t>将候诊区病人模型运送至对应诊室的诊断区，但病</w:t>
            </w:r>
            <w:r>
              <w:rPr>
                <w:rFonts w:ascii="仿宋" w:hAnsi="仿宋" w:eastAsia="仿宋" w:cs="仿宋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人模型垂直投影未全部在区域内</w:t>
            </w:r>
          </w:p>
        </w:tc>
        <w:tc>
          <w:tcPr>
            <w:tcW w:w="1284" w:type="dxa"/>
            <w:vAlign w:val="top"/>
          </w:tcPr>
          <w:p>
            <w:pPr>
              <w:pStyle w:val="7"/>
              <w:spacing w:line="307" w:lineRule="auto"/>
            </w:pPr>
          </w:p>
          <w:p>
            <w:pPr>
              <w:spacing w:before="78" w:line="224" w:lineRule="auto"/>
              <w:ind w:left="37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20</w:t>
            </w:r>
            <w:r>
              <w:rPr>
                <w:rFonts w:ascii="仿宋" w:hAnsi="仿宋" w:eastAsia="仿宋" w:cs="仿宋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696" w:type="dxa"/>
            <w:vMerge w:val="continue"/>
            <w:tcBorders>
              <w:top w:val="nil"/>
            </w:tcBorders>
            <w:vAlign w:val="top"/>
          </w:tcPr>
          <w:p>
            <w:pPr>
              <w:pStyle w:val="7"/>
            </w:pPr>
          </w:p>
        </w:tc>
        <w:tc>
          <w:tcPr>
            <w:tcW w:w="5381" w:type="dxa"/>
            <w:vAlign w:val="top"/>
          </w:tcPr>
          <w:p>
            <w:pPr>
              <w:spacing w:before="38" w:line="223" w:lineRule="auto"/>
              <w:ind w:left="14" w:hanging="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机器人无亮灯状态识别二维码，亮对应颜色的灯后，</w:t>
            </w:r>
            <w:r>
              <w:rPr>
                <w:rFonts w:ascii="仿宋" w:hAnsi="仿宋" w:eastAsia="仿宋" w:cs="仿宋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未将候诊区病人模型运送至对应诊室。</w:t>
            </w:r>
          </w:p>
        </w:tc>
        <w:tc>
          <w:tcPr>
            <w:tcW w:w="1284" w:type="dxa"/>
            <w:vAlign w:val="top"/>
          </w:tcPr>
          <w:p>
            <w:pPr>
              <w:spacing w:before="235" w:line="224" w:lineRule="auto"/>
              <w:ind w:left="39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9"/>
                <w:sz w:val="24"/>
                <w:szCs w:val="24"/>
              </w:rPr>
              <w:t>10</w:t>
            </w:r>
            <w:r>
              <w:rPr>
                <w:rFonts w:ascii="仿宋" w:hAnsi="仿宋" w:eastAsia="仿宋" w:cs="仿宋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9"/>
                <w:sz w:val="24"/>
                <w:szCs w:val="24"/>
              </w:rPr>
              <w:t>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1696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line="275" w:lineRule="auto"/>
            </w:pPr>
          </w:p>
          <w:p>
            <w:pPr>
              <w:pStyle w:val="7"/>
              <w:spacing w:line="276" w:lineRule="auto"/>
            </w:pPr>
          </w:p>
          <w:p>
            <w:pPr>
              <w:pStyle w:val="7"/>
              <w:spacing w:line="276" w:lineRule="auto"/>
            </w:pPr>
          </w:p>
          <w:p>
            <w:pPr>
              <w:spacing w:before="78" w:line="219" w:lineRule="auto"/>
              <w:ind w:left="38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送样检测</w:t>
            </w:r>
          </w:p>
        </w:tc>
        <w:tc>
          <w:tcPr>
            <w:tcW w:w="5381" w:type="dxa"/>
            <w:vAlign w:val="top"/>
          </w:tcPr>
          <w:p>
            <w:pPr>
              <w:spacing w:before="120" w:line="228" w:lineRule="auto"/>
              <w:ind w:left="115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机器人识别样本室的</w:t>
            </w:r>
            <w:r>
              <w:rPr>
                <w:rFonts w:ascii="仿宋" w:hAnsi="仿宋" w:eastAsia="仿宋" w:cs="仿宋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1</w:t>
            </w:r>
            <w:r>
              <w:rPr>
                <w:rFonts w:ascii="仿宋" w:hAnsi="仿宋" w:eastAsia="仿宋" w:cs="仿宋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个样本模型颜色（黄色或紫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色）后，将其放置到检验室缓慢转动的检验台对应</w:t>
            </w:r>
            <w:r>
              <w:rPr>
                <w:rFonts w:ascii="仿宋" w:hAnsi="仿宋" w:eastAsia="仿宋" w:cs="仿宋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颜色区域且不掉落。</w:t>
            </w:r>
          </w:p>
        </w:tc>
        <w:tc>
          <w:tcPr>
            <w:tcW w:w="1284" w:type="dxa"/>
            <w:vAlign w:val="top"/>
          </w:tcPr>
          <w:p>
            <w:pPr>
              <w:pStyle w:val="7"/>
              <w:spacing w:line="352" w:lineRule="auto"/>
            </w:pPr>
          </w:p>
          <w:p>
            <w:pPr>
              <w:spacing w:before="78" w:line="224" w:lineRule="auto"/>
              <w:ind w:left="37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50</w:t>
            </w:r>
            <w:r>
              <w:rPr>
                <w:rFonts w:ascii="仿宋" w:hAnsi="仿宋" w:eastAsia="仿宋" w:cs="仿宋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1696" w:type="dxa"/>
            <w:vMerge w:val="continue"/>
            <w:tcBorders>
              <w:top w:val="nil"/>
            </w:tcBorders>
            <w:vAlign w:val="top"/>
          </w:tcPr>
          <w:p>
            <w:pPr>
              <w:pStyle w:val="7"/>
            </w:pPr>
          </w:p>
        </w:tc>
        <w:tc>
          <w:tcPr>
            <w:tcW w:w="5381" w:type="dxa"/>
            <w:vAlign w:val="top"/>
          </w:tcPr>
          <w:p>
            <w:pPr>
              <w:spacing w:before="120" w:line="228" w:lineRule="auto"/>
              <w:ind w:left="119" w:hanging="3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机器人识别样本室的</w:t>
            </w:r>
            <w:r>
              <w:rPr>
                <w:rFonts w:ascii="仿宋" w:hAnsi="仿宋" w:eastAsia="仿宋" w:cs="仿宋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1</w:t>
            </w:r>
            <w:r>
              <w:rPr>
                <w:rFonts w:ascii="仿宋" w:hAnsi="仿宋" w:eastAsia="仿宋" w:cs="仿宋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个样本模型颜色（黄色或紫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色）将其放置到检验室缓慢转动的检验台对应颜色</w:t>
            </w:r>
            <w:r>
              <w:rPr>
                <w:rFonts w:ascii="仿宋" w:hAnsi="仿宋" w:eastAsia="仿宋" w:cs="仿宋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区域但掉落。</w:t>
            </w:r>
          </w:p>
        </w:tc>
        <w:tc>
          <w:tcPr>
            <w:tcW w:w="1284" w:type="dxa"/>
            <w:vAlign w:val="top"/>
          </w:tcPr>
          <w:p>
            <w:pPr>
              <w:pStyle w:val="7"/>
              <w:spacing w:line="282" w:lineRule="auto"/>
            </w:pPr>
          </w:p>
          <w:p>
            <w:pPr>
              <w:spacing w:before="78" w:line="224" w:lineRule="auto"/>
              <w:ind w:left="37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20</w:t>
            </w:r>
            <w:r>
              <w:rPr>
                <w:rFonts w:ascii="仿宋" w:hAnsi="仿宋" w:eastAsia="仿宋" w:cs="仿宋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696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line="260" w:lineRule="auto"/>
            </w:pPr>
          </w:p>
          <w:p>
            <w:pPr>
              <w:pStyle w:val="7"/>
              <w:spacing w:line="261" w:lineRule="auto"/>
            </w:pPr>
          </w:p>
          <w:p>
            <w:pPr>
              <w:spacing w:before="78" w:line="222" w:lineRule="auto"/>
              <w:ind w:left="38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取药送药</w:t>
            </w:r>
          </w:p>
        </w:tc>
        <w:tc>
          <w:tcPr>
            <w:tcW w:w="5381" w:type="dxa"/>
            <w:vAlign w:val="top"/>
          </w:tcPr>
          <w:p>
            <w:pPr>
              <w:spacing w:before="123" w:line="221" w:lineRule="auto"/>
              <w:ind w:left="136" w:hanging="2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机器人获取</w:t>
            </w:r>
            <w:r>
              <w:rPr>
                <w:rFonts w:ascii="仿宋" w:hAnsi="仿宋" w:eastAsia="仿宋" w:cs="仿宋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1</w:t>
            </w:r>
            <w:r>
              <w:rPr>
                <w:rFonts w:ascii="仿宋" w:hAnsi="仿宋" w:eastAsia="仿宋" w:cs="仿宋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个药物模型后，运送至病房药物摆放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区且药物模型部分垂直投影在区域内。</w:t>
            </w:r>
          </w:p>
        </w:tc>
        <w:tc>
          <w:tcPr>
            <w:tcW w:w="1284" w:type="dxa"/>
            <w:vAlign w:val="top"/>
          </w:tcPr>
          <w:p>
            <w:pPr>
              <w:spacing w:before="279" w:line="224" w:lineRule="auto"/>
              <w:ind w:left="37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40</w:t>
            </w:r>
            <w:r>
              <w:rPr>
                <w:rFonts w:ascii="仿宋" w:hAnsi="仿宋" w:eastAsia="仿宋" w:cs="仿宋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696" w:type="dxa"/>
            <w:vMerge w:val="continue"/>
            <w:tcBorders>
              <w:top w:val="nil"/>
            </w:tcBorders>
            <w:vAlign w:val="top"/>
          </w:tcPr>
          <w:p>
            <w:pPr>
              <w:pStyle w:val="7"/>
            </w:pPr>
          </w:p>
        </w:tc>
        <w:tc>
          <w:tcPr>
            <w:tcW w:w="5381" w:type="dxa"/>
            <w:vAlign w:val="top"/>
          </w:tcPr>
          <w:p>
            <w:pPr>
              <w:spacing w:before="126" w:line="220" w:lineRule="auto"/>
              <w:ind w:left="11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机器人获取</w:t>
            </w:r>
            <w:r>
              <w:rPr>
                <w:rFonts w:ascii="仿宋" w:hAnsi="仿宋" w:eastAsia="仿宋" w:cs="仿宋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1</w:t>
            </w:r>
            <w:r>
              <w:rPr>
                <w:rFonts w:ascii="仿宋" w:hAnsi="仿宋" w:eastAsia="仿宋" w:cs="仿宋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个药物模型后，未运送至病房药物摆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放区。</w:t>
            </w:r>
          </w:p>
        </w:tc>
        <w:tc>
          <w:tcPr>
            <w:tcW w:w="1284" w:type="dxa"/>
            <w:vAlign w:val="top"/>
          </w:tcPr>
          <w:p>
            <w:pPr>
              <w:spacing w:before="281" w:line="224" w:lineRule="auto"/>
              <w:ind w:left="37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20</w:t>
            </w:r>
            <w:r>
              <w:rPr>
                <w:rFonts w:ascii="仿宋" w:hAnsi="仿宋" w:eastAsia="仿宋" w:cs="仿宋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696" w:type="dxa"/>
            <w:vAlign w:val="top"/>
          </w:tcPr>
          <w:p>
            <w:pPr>
              <w:spacing w:before="164" w:line="222" w:lineRule="auto"/>
              <w:ind w:left="38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病房协助</w:t>
            </w:r>
          </w:p>
        </w:tc>
        <w:tc>
          <w:tcPr>
            <w:tcW w:w="5381" w:type="dxa"/>
            <w:vAlign w:val="top"/>
          </w:tcPr>
          <w:p>
            <w:pPr>
              <w:spacing w:before="46" w:line="222" w:lineRule="auto"/>
              <w:ind w:left="1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3"/>
                <w:sz w:val="24"/>
                <w:szCs w:val="24"/>
              </w:rPr>
              <w:t>机器人无亮灯状态识别手势模型后按下绿色按钮，</w:t>
            </w:r>
          </w:p>
        </w:tc>
        <w:tc>
          <w:tcPr>
            <w:tcW w:w="1284" w:type="dxa"/>
            <w:vAlign w:val="top"/>
          </w:tcPr>
          <w:p>
            <w:pPr>
              <w:spacing w:before="163" w:line="224" w:lineRule="auto"/>
              <w:ind w:left="37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50</w:t>
            </w:r>
            <w:r>
              <w:rPr>
                <w:rFonts w:ascii="仿宋" w:hAnsi="仿宋" w:eastAsia="仿宋" w:cs="仿宋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分</w:t>
            </w:r>
          </w:p>
        </w:tc>
      </w:tr>
    </w:tbl>
    <w:p>
      <w:pPr>
        <w:spacing w:before="66"/>
      </w:pPr>
    </w:p>
    <w:tbl>
      <w:tblPr>
        <w:tblStyle w:val="6"/>
        <w:tblW w:w="8361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6"/>
        <w:gridCol w:w="5381"/>
        <w:gridCol w:w="128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696" w:type="dxa"/>
            <w:vAlign w:val="top"/>
          </w:tcPr>
          <w:p>
            <w:pPr>
              <w:pStyle w:val="7"/>
            </w:pPr>
          </w:p>
        </w:tc>
        <w:tc>
          <w:tcPr>
            <w:tcW w:w="5381" w:type="dxa"/>
            <w:vAlign w:val="top"/>
          </w:tcPr>
          <w:p>
            <w:pPr>
              <w:spacing w:before="41" w:line="222" w:lineRule="auto"/>
              <w:ind w:left="1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再依据手势亮起对应颜色的灯。</w:t>
            </w:r>
          </w:p>
        </w:tc>
        <w:tc>
          <w:tcPr>
            <w:tcW w:w="1284" w:type="dxa"/>
            <w:vAlign w:val="top"/>
          </w:tcPr>
          <w:p>
            <w:pPr>
              <w:pStyle w:val="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</w:trPr>
        <w:tc>
          <w:tcPr>
            <w:tcW w:w="1696" w:type="dxa"/>
            <w:vAlign w:val="top"/>
          </w:tcPr>
          <w:p>
            <w:pPr>
              <w:spacing w:before="279" w:line="224" w:lineRule="auto"/>
              <w:ind w:left="25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返回出发区</w:t>
            </w:r>
          </w:p>
        </w:tc>
        <w:tc>
          <w:tcPr>
            <w:tcW w:w="5381" w:type="dxa"/>
            <w:vAlign w:val="top"/>
          </w:tcPr>
          <w:p>
            <w:pPr>
              <w:spacing w:before="115" w:line="230" w:lineRule="auto"/>
              <w:ind w:left="11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机器人返回出发区静止，前端朝向黄色轨迹线且垂</w:t>
            </w:r>
            <w:r>
              <w:rPr>
                <w:rFonts w:ascii="仿宋" w:hAnsi="仿宋" w:eastAsia="仿宋" w:cs="仿宋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直投影全部在区域内。</w:t>
            </w:r>
          </w:p>
        </w:tc>
        <w:tc>
          <w:tcPr>
            <w:tcW w:w="1284" w:type="dxa"/>
            <w:vAlign w:val="top"/>
          </w:tcPr>
          <w:p>
            <w:pPr>
              <w:pStyle w:val="7"/>
              <w:spacing w:line="276" w:lineRule="auto"/>
            </w:pPr>
          </w:p>
          <w:p>
            <w:pPr>
              <w:spacing w:before="78" w:line="224" w:lineRule="auto"/>
              <w:ind w:left="37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30</w:t>
            </w:r>
            <w:r>
              <w:rPr>
                <w:rFonts w:ascii="仿宋" w:hAnsi="仿宋" w:eastAsia="仿宋" w:cs="仿宋"/>
                <w:spacing w:val="-4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696" w:type="dxa"/>
            <w:vAlign w:val="top"/>
          </w:tcPr>
          <w:p>
            <w:pPr>
              <w:spacing w:before="154" w:line="225" w:lineRule="auto"/>
              <w:ind w:left="62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9"/>
                <w:sz w:val="24"/>
                <w:szCs w:val="24"/>
              </w:rPr>
              <w:t>违规</w:t>
            </w:r>
          </w:p>
        </w:tc>
        <w:tc>
          <w:tcPr>
            <w:tcW w:w="5381" w:type="dxa"/>
            <w:vAlign w:val="top"/>
          </w:tcPr>
          <w:p>
            <w:pPr>
              <w:spacing w:before="118" w:line="221" w:lineRule="auto"/>
              <w:ind w:left="14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比赛任务执行过程中碰撞非任务道具。</w:t>
            </w:r>
          </w:p>
        </w:tc>
        <w:tc>
          <w:tcPr>
            <w:tcW w:w="1284" w:type="dxa"/>
            <w:vAlign w:val="top"/>
          </w:tcPr>
          <w:p>
            <w:pPr>
              <w:spacing w:before="154" w:line="223" w:lineRule="auto"/>
              <w:ind w:left="13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-2</w:t>
            </w:r>
            <w:r>
              <w:rPr>
                <w:rFonts w:ascii="仿宋" w:hAnsi="仿宋" w:eastAsia="仿宋" w:cs="仿宋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分/次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1696" w:type="dxa"/>
            <w:vAlign w:val="top"/>
          </w:tcPr>
          <w:p>
            <w:pPr>
              <w:pStyle w:val="7"/>
              <w:spacing w:line="274" w:lineRule="auto"/>
            </w:pPr>
          </w:p>
          <w:p>
            <w:pPr>
              <w:spacing w:before="78" w:line="222" w:lineRule="auto"/>
              <w:ind w:left="39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9"/>
                <w:sz w:val="24"/>
                <w:szCs w:val="24"/>
              </w:rPr>
              <w:t>时间奖励</w:t>
            </w:r>
          </w:p>
        </w:tc>
        <w:tc>
          <w:tcPr>
            <w:tcW w:w="5381" w:type="dxa"/>
            <w:vAlign w:val="top"/>
          </w:tcPr>
          <w:p>
            <w:pPr>
              <w:spacing w:before="201" w:line="233" w:lineRule="auto"/>
              <w:ind w:left="11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10"/>
                <w:sz w:val="24"/>
                <w:szCs w:val="24"/>
              </w:rPr>
              <w:t>机器人成功完成全部规定任务且用时少于规</w:t>
            </w:r>
            <w:r>
              <w:rPr>
                <w:rFonts w:ascii="仿宋" w:hAnsi="仿宋" w:eastAsia="仿宋" w:cs="仿宋"/>
                <w:spacing w:val="9"/>
                <w:sz w:val="24"/>
                <w:szCs w:val="24"/>
              </w:rPr>
              <w:t>定时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长。</w:t>
            </w:r>
          </w:p>
        </w:tc>
        <w:tc>
          <w:tcPr>
            <w:tcW w:w="1284" w:type="dxa"/>
            <w:vAlign w:val="top"/>
          </w:tcPr>
          <w:p>
            <w:pPr>
              <w:spacing w:before="238" w:line="232" w:lineRule="auto"/>
              <w:ind w:left="373" w:right="33" w:hanging="31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4"/>
                <w:sz w:val="24"/>
                <w:szCs w:val="24"/>
              </w:rPr>
              <w:t>每提前</w:t>
            </w:r>
            <w:r>
              <w:rPr>
                <w:rFonts w:ascii="仿宋" w:hAnsi="仿宋" w:eastAsia="仿宋" w:cs="仿宋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4"/>
                <w:sz w:val="24"/>
                <w:szCs w:val="24"/>
              </w:rPr>
              <w:t>1</w:t>
            </w:r>
            <w:r>
              <w:rPr>
                <w:rFonts w:ascii="仿宋" w:hAnsi="仿宋" w:eastAsia="仿宋" w:cs="仿宋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4"/>
                <w:sz w:val="24"/>
                <w:szCs w:val="24"/>
              </w:rPr>
              <w:t>秒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+1</w:t>
            </w:r>
            <w:r>
              <w:rPr>
                <w:rFonts w:ascii="仿宋" w:hAnsi="仿宋" w:eastAsia="仿宋" w:cs="仿宋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分</w:t>
            </w:r>
          </w:p>
        </w:tc>
      </w:tr>
    </w:tbl>
    <w:p>
      <w:pPr>
        <w:pStyle w:val="2"/>
        <w:spacing w:before="173" w:line="222" w:lineRule="auto"/>
        <w:ind w:left="613"/>
      </w:pPr>
      <w:r>
        <w:rPr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（二）成绩计算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7" w:line="222" w:lineRule="auto"/>
        <w:ind w:firstLine="536" w:firstLineChars="200"/>
        <w:jc w:val="both"/>
        <w:textAlignment w:val="baseline"/>
      </w:pPr>
      <w:r>
        <w:rPr>
          <w:spacing w:val="-6"/>
        </w:rPr>
        <w:t>1.规定任务时长内只完成部分任务，按实际完成的任务计算得分。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7" w:line="624" w:lineRule="exact"/>
        <w:ind w:firstLine="544" w:firstLineChars="200"/>
        <w:textAlignment w:val="baseline"/>
      </w:pPr>
      <w:r>
        <w:rPr>
          <w:spacing w:val="-4"/>
          <w:position w:val="26"/>
        </w:rPr>
        <w:t>2.取两次比赛得分高的一次计为成绩，成绩高者排名靠前，若成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22" w:lineRule="auto"/>
        <w:textAlignment w:val="baseline"/>
      </w:pPr>
      <w:r>
        <w:rPr>
          <w:spacing w:val="-2"/>
        </w:rPr>
        <w:t>绩相同，完成任务时长少者排名靠前。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6" w:line="221" w:lineRule="auto"/>
        <w:ind w:firstLine="556" w:firstLineChars="200"/>
        <w:textAlignment w:val="baseline"/>
      </w:pPr>
      <w:r>
        <w:rPr>
          <w:spacing w:val="-1"/>
        </w:rPr>
        <w:t>3.若分数、完成任务时长均相同，则判定为并列名次。</w:t>
      </w:r>
    </w:p>
    <w:p>
      <w:pPr>
        <w:pStyle w:val="2"/>
        <w:spacing w:before="289" w:line="223" w:lineRule="auto"/>
        <w:ind w:left="613"/>
        <w:rPr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pStyle w:val="2"/>
        <w:spacing w:before="289" w:line="223" w:lineRule="auto"/>
        <w:ind w:left="613"/>
        <w:rPr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>
      <w:pPr>
        <w:pStyle w:val="2"/>
        <w:spacing w:before="289" w:line="223" w:lineRule="auto"/>
        <w:ind w:left="613"/>
      </w:pPr>
      <w:r>
        <w:rPr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（三）不予评奖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6" w:line="624" w:lineRule="exact"/>
        <w:ind w:firstLine="544" w:firstLineChars="200"/>
        <w:textAlignment w:val="baseline"/>
        <w:rPr>
          <w:rFonts w:hint="default"/>
          <w:spacing w:val="-5"/>
          <w:position w:val="26"/>
          <w:lang w:val="en-US" w:eastAsia="zh-CN"/>
        </w:rPr>
      </w:pPr>
      <w:r>
        <w:rPr>
          <w:spacing w:val="-4"/>
          <w:position w:val="26"/>
        </w:rPr>
        <w:t>1.取消比赛资格：参赛选手重复或虚假报名</w:t>
      </w:r>
      <w:r>
        <w:rPr>
          <w:spacing w:val="-5"/>
          <w:position w:val="26"/>
        </w:rPr>
        <w:t>，找他人替赛或替他</w:t>
      </w:r>
      <w:r>
        <w:rPr>
          <w:rFonts w:hint="eastAsia"/>
          <w:spacing w:val="-5"/>
          <w:position w:val="26"/>
          <w:lang w:val="en-US" w:eastAsia="zh-CN"/>
        </w:rPr>
        <w:t>人比赛，迟到15分钟以上，未全部到场比赛。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24" w:lineRule="exact"/>
        <w:ind w:firstLine="556" w:firstLineChars="200"/>
        <w:textAlignment w:val="baseline"/>
      </w:pPr>
      <w:r>
        <w:rPr>
          <w:spacing w:val="-1"/>
          <w:position w:val="26"/>
        </w:rPr>
        <w:t>2.参赛选手比赛成绩为零分。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22" w:lineRule="auto"/>
        <w:ind w:firstLine="552" w:firstLineChars="200"/>
        <w:textAlignment w:val="baseline"/>
      </w:pPr>
      <w:r>
        <w:rPr>
          <w:spacing w:val="-2"/>
        </w:rPr>
        <w:t>3.参赛选手被投诉且成立。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6" w:line="221" w:lineRule="auto"/>
        <w:ind w:firstLine="528" w:firstLineChars="200"/>
        <w:textAlignment w:val="baseline"/>
      </w:pPr>
      <w:r>
        <w:rPr>
          <w:spacing w:val="-8"/>
        </w:rPr>
        <w:t>4.参赛选手不听从裁判（评委）依据竞赛规则所作出的正确指</w:t>
      </w:r>
      <w:r>
        <w:rPr>
          <w:spacing w:val="-9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8" w:line="360" w:lineRule="auto"/>
        <w:ind w:firstLine="552" w:firstLineChars="200"/>
        <w:textAlignment w:val="baseline"/>
        <w:rPr>
          <w:rFonts w:hint="eastAsia" w:eastAsia="仿宋"/>
          <w:spacing w:val="-2"/>
          <w:lang w:val="en-US" w:eastAsia="zh-CN"/>
        </w:rPr>
      </w:pPr>
      <w:r>
        <w:rPr>
          <w:spacing w:val="-2"/>
        </w:rPr>
        <w:t>5.参赛选手比赛过程中与其他人员沟通须本人独立完成的比赛</w:t>
      </w:r>
      <w:r>
        <w:rPr>
          <w:rFonts w:hint="eastAsia"/>
          <w:spacing w:val="-2"/>
          <w:lang w:eastAsia="zh-CN"/>
        </w:rPr>
        <w:t>内容。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24" w:lineRule="exact"/>
        <w:ind w:firstLine="556" w:firstLineChars="200"/>
        <w:textAlignment w:val="baseline"/>
      </w:pPr>
      <w:r>
        <w:rPr>
          <w:spacing w:val="-1"/>
          <w:position w:val="26"/>
        </w:rPr>
        <w:t>6.参赛选手蓄意损坏比赛场地、道具及其他参赛选手机器人。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22" w:lineRule="auto"/>
        <w:ind w:firstLine="556" w:firstLineChars="200"/>
        <w:textAlignment w:val="baseline"/>
      </w:pPr>
      <w:r>
        <w:rPr>
          <w:spacing w:val="-1"/>
        </w:rPr>
        <w:t>7.参赛选手借给或借用其他队伍机器人比赛。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7" w:line="624" w:lineRule="exact"/>
        <w:ind w:firstLine="556" w:firstLineChars="200"/>
        <w:textAlignment w:val="baseline"/>
      </w:pPr>
      <w:r>
        <w:rPr>
          <w:spacing w:val="-1"/>
          <w:position w:val="26"/>
        </w:rPr>
        <w:t>8.参赛选手未经裁判允许私自解封编程调试后的机器人。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21" w:lineRule="auto"/>
        <w:ind w:firstLine="548" w:firstLineChars="200"/>
        <w:textAlignment w:val="baseline"/>
      </w:pPr>
      <w:r>
        <w:rPr>
          <w:spacing w:val="-3"/>
        </w:rPr>
        <w:t>9.参赛机器人不符合第五项“竞赛器材</w:t>
      </w:r>
      <w:r>
        <w:rPr>
          <w:spacing w:val="-85"/>
        </w:rPr>
        <w:t xml:space="preserve"> </w:t>
      </w:r>
      <w:r>
        <w:rPr>
          <w:spacing w:val="-3"/>
        </w:rPr>
        <w:t>”要求。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8" w:line="223" w:lineRule="auto"/>
        <w:ind w:firstLine="552" w:firstLineChars="200"/>
        <w:textAlignment w:val="baseline"/>
        <w:rPr>
          <w:rFonts w:ascii="Arial"/>
          <w:sz w:val="21"/>
        </w:rPr>
      </w:pPr>
      <w:r>
        <w:rPr>
          <w:spacing w:val="-2"/>
        </w:rPr>
        <w:t>10.参赛机器人启动后人为遥控机器人。</w:t>
      </w:r>
    </w:p>
    <w:sectPr>
      <w:headerReference r:id="rId5" w:type="default"/>
      <w:footerReference r:id="rId6" w:type="default"/>
      <w:pgSz w:w="11906" w:h="16839"/>
      <w:pgMar w:top="839" w:right="1785" w:bottom="1156" w:left="1785" w:header="0" w:footer="99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Regular">
    <w:altName w:val="Arial"/>
    <w:panose1 w:val="020B0604020202090204"/>
    <w:charset w:val="00"/>
    <w:family w:val="auto"/>
    <w:pitch w:val="default"/>
    <w:sig w:usb0="00000000" w:usb1="00000000" w:usb2="00000001" w:usb3="00000000" w:csb0="400001BF" w:csb1="DF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397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7"/>
        <w:sz w:val="18"/>
        <w:szCs w:val="18"/>
      </w:rPr>
      <w:t>-</w:t>
    </w:r>
    <w:r>
      <w:rPr>
        <w:rFonts w:ascii="Times New Roman" w:hAnsi="Times New Roman" w:eastAsia="Times New Roman" w:cs="Times New Roman"/>
        <w:spacing w:val="19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7"/>
        <w:sz w:val="18"/>
        <w:szCs w:val="18"/>
      </w:rPr>
      <w:t>13</w:t>
    </w:r>
    <w:r>
      <w:rPr>
        <w:rFonts w:ascii="Times New Roman" w:hAnsi="Times New Roman" w:eastAsia="Times New Roman" w:cs="Times New Roman"/>
        <w:spacing w:val="6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7"/>
        <w:sz w:val="18"/>
        <w:szCs w:val="18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zI5ZjdkNTFmNjBjN2U3YzY2MDg1Y2I5M2MyYmIzNDIifQ=="/>
  </w:docVars>
  <w:rsids>
    <w:rsidRoot w:val="00000000"/>
    <w:rsid w:val="01E90844"/>
    <w:rsid w:val="023A109F"/>
    <w:rsid w:val="0D6671EC"/>
    <w:rsid w:val="17455A1B"/>
    <w:rsid w:val="1A9A6727"/>
    <w:rsid w:val="1B2A2644"/>
    <w:rsid w:val="1F013D38"/>
    <w:rsid w:val="23FC3FAF"/>
    <w:rsid w:val="29606D8E"/>
    <w:rsid w:val="2D200D0E"/>
    <w:rsid w:val="2F2820FC"/>
    <w:rsid w:val="30AC28B9"/>
    <w:rsid w:val="338D55C4"/>
    <w:rsid w:val="362353CB"/>
    <w:rsid w:val="36625EF3"/>
    <w:rsid w:val="3A540249"/>
    <w:rsid w:val="3C5C1637"/>
    <w:rsid w:val="41F41028"/>
    <w:rsid w:val="42C93EFC"/>
    <w:rsid w:val="4379441E"/>
    <w:rsid w:val="454D5FC1"/>
    <w:rsid w:val="458B6AE9"/>
    <w:rsid w:val="45BC727D"/>
    <w:rsid w:val="47046B53"/>
    <w:rsid w:val="5305612D"/>
    <w:rsid w:val="54FA6004"/>
    <w:rsid w:val="633A4291"/>
    <w:rsid w:val="698931BC"/>
    <w:rsid w:val="6E8E4DD0"/>
    <w:rsid w:val="74B51309"/>
    <w:rsid w:val="76BD26F7"/>
    <w:rsid w:val="7DB13244"/>
    <w:rsid w:val="7DB859C6"/>
    <w:rsid w:val="7DF764EE"/>
    <w:rsid w:val="7E6A38AF"/>
    <w:rsid w:val="7F6F6558"/>
    <w:rsid w:val="F7FB0B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4" Type="http://schemas.openxmlformats.org/officeDocument/2006/relationships/fontTable" Target="fontTable.xml"/><Relationship Id="rId33" Type="http://schemas.openxmlformats.org/officeDocument/2006/relationships/image" Target="media/image26.jpeg"/><Relationship Id="rId32" Type="http://schemas.openxmlformats.org/officeDocument/2006/relationships/image" Target="media/image25.jpeg"/><Relationship Id="rId31" Type="http://schemas.openxmlformats.org/officeDocument/2006/relationships/image" Target="media/image24.jpeg"/><Relationship Id="rId30" Type="http://schemas.openxmlformats.org/officeDocument/2006/relationships/image" Target="media/image23.jpeg"/><Relationship Id="rId3" Type="http://schemas.openxmlformats.org/officeDocument/2006/relationships/footnotes" Target="footnotes.xml"/><Relationship Id="rId29" Type="http://schemas.openxmlformats.org/officeDocument/2006/relationships/image" Target="media/image22.jpeg"/><Relationship Id="rId28" Type="http://schemas.openxmlformats.org/officeDocument/2006/relationships/image" Target="media/image21.jpeg"/><Relationship Id="rId27" Type="http://schemas.openxmlformats.org/officeDocument/2006/relationships/image" Target="media/image20.jpeg"/><Relationship Id="rId26" Type="http://schemas.openxmlformats.org/officeDocument/2006/relationships/image" Target="media/image19.jpeg"/><Relationship Id="rId25" Type="http://schemas.openxmlformats.org/officeDocument/2006/relationships/image" Target="media/image18.jpeg"/><Relationship Id="rId24" Type="http://schemas.openxmlformats.org/officeDocument/2006/relationships/image" Target="media/image17.jpeg"/><Relationship Id="rId23" Type="http://schemas.openxmlformats.org/officeDocument/2006/relationships/image" Target="media/image16.jpeg"/><Relationship Id="rId22" Type="http://schemas.openxmlformats.org/officeDocument/2006/relationships/image" Target="media/image15.png"/><Relationship Id="rId21" Type="http://schemas.openxmlformats.org/officeDocument/2006/relationships/image" Target="media/image14.jpeg"/><Relationship Id="rId20" Type="http://schemas.openxmlformats.org/officeDocument/2006/relationships/image" Target="media/image13.jpeg"/><Relationship Id="rId2" Type="http://schemas.openxmlformats.org/officeDocument/2006/relationships/settings" Target="settings.xml"/><Relationship Id="rId19" Type="http://schemas.openxmlformats.org/officeDocument/2006/relationships/image" Target="media/image12.jpeg"/><Relationship Id="rId18" Type="http://schemas.openxmlformats.org/officeDocument/2006/relationships/image" Target="media/image11.jpeg"/><Relationship Id="rId17" Type="http://schemas.openxmlformats.org/officeDocument/2006/relationships/image" Target="media/image10.jpeg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pn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17</TotalTime>
  <ScaleCrop>false</ScaleCrop>
  <LinksUpToDate>false</LinksUpToDate>
  <Application>WPS Office_12.1.0.16250_F1E327BC-269C-435d-A152-05C5408002CA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2024-01-03T00:19:00Z</dcterms:created>
  <dc:creator>Administrator</dc:creator>
  <cp:lastModifiedBy>Administrator</cp:lastModifiedBy>
  <dcterms:modified xsi:type="dcterms:W3CDTF">2024-01-19T03:20:12Z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2024-01-08T08:27:58Z</vt:filetime>
  </property>
  <property fmtid="{D5CDD505-2E9C-101B-9397-08002B2CF9AE}" pid="4" name="KSOProductBuildVer">
    <vt:lpwstr>2052-12.1.0.16250</vt:lpwstr>
  </property>
  <property fmtid="{D5CDD505-2E9C-101B-9397-08002B2CF9AE}" pid="5" name="ICV">
    <vt:lpwstr>401D445B498F401BA1C6B96519ED5172_12</vt:lpwstr>
  </property>
</Properties>
</file>