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ind w:right="-210" w:rightChars="-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附件：</w:t>
      </w:r>
      <w:r>
        <w:rPr>
          <w:rFonts w:hint="eastAsia" w:ascii="微软雅黑 Light" w:hAnsi="微软雅黑 Light" w:eastAsia="微软雅黑 Light" w:cs="微软雅黑 Light"/>
          <w:color w:val="333333"/>
          <w:sz w:val="24"/>
          <w:szCs w:val="24"/>
          <w:shd w:val="clear" w:color="auto" w:fill="FFFFFF"/>
        </w:rPr>
        <w:t>淮北市教育局</w:t>
      </w:r>
      <w:r>
        <w:rPr>
          <w:rFonts w:hint="eastAsia" w:ascii="微软雅黑 Light" w:hAnsi="微软雅黑 Light" w:eastAsia="微软雅黑 Light" w:cs="微软雅黑 Light"/>
          <w:color w:val="333333"/>
          <w:sz w:val="24"/>
          <w:szCs w:val="24"/>
          <w:shd w:val="clear" w:color="auto" w:fill="FFFFFF"/>
          <w:lang w:val="en-US" w:eastAsia="zh-CN"/>
        </w:rPr>
        <w:t>委托第三方对相山区学前教育普及普惠创建市级复评采购文件</w:t>
      </w:r>
    </w:p>
    <w:p>
      <w:pPr>
        <w:keepNext/>
        <w:widowControl/>
        <w:ind w:right="-210" w:rightChars="-1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一、供应商须知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1、供应商就以下采购清单中标的物的相关要求，向采购人一次性提交一正两副共三份书面报价函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格式附后，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随意删减内容视作不响应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。报价一经采购人认可，即为签约的合同价，此价格为交货地价格，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包括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但不限于实地调研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业务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培训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发票税金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复评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前所有费用。报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价用人民币报价，单位为元。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审核具体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如下：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（1）具有独立承担民事责任的能力。提供具有采购项目相关营业范围的营业执照或三合一证书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影印件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并经评审组评审认可；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（2）提供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上一年度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财务报告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影印件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，至少包括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资产负债表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利润表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银行资信证明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书，并经评审组评审认可；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（3）提供法人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身份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证明或法人授权书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格式自拟）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被授权人需提供近三个月内任一月社保证明，并经评审组评审认可；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按采购需求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服务承诺函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并经评审组评审认可；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上述资料加盖投标人公章，装订成册密封进报价函，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如有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一项不符将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视为不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资格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3、本项目不分包，未密封、装订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、盖章的报价函视为无效的报价函。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供应商须投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报所有货物和服务，并只能有一个报价，多方案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报价视为不响应报价。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4、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以拒绝对采购人的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函作出报价，但一经作出报价，即被视为理解并认可以上所有要求，且不可撤回。否则，采购人在此后的一年内将不允许该公司参加采购人的所有采购活动，造成损失的将追究其赔偿或法律责任。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5、本项目如有更改，采购人将在淮北市教育网公开发布澄清函，澄清函为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函不可分割的部分，请供应商注意查阅，否则责任自负，项目成交结果将在网上公布。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6、项目合同参照政府采购合同格式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结合项目实际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自拟。无故弃标供应商取消其1至3年内在淮北市教育系统投标资格，并上报市公管局、交易中心备案。造成其他损失的，依法承担赔偿责任；构成犯罪的，依法追究法律责任。</w:t>
      </w:r>
    </w:p>
    <w:p>
      <w:pPr>
        <w:jc w:val="center"/>
        <w:rPr>
          <w:rFonts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服务期限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eastAsia="仿宋"/>
          <w:color w:val="000000"/>
          <w:sz w:val="28"/>
          <w:szCs w:val="28"/>
          <w:lang w:val="en-US" w:eastAsia="zh-CN"/>
        </w:rPr>
        <w:t>合同签定后于11月29日前提供复评报告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三、服务承诺函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就以上标的物的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售后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服务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质量等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做出书面承诺。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、验收与支付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中标人提出申请、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验收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，检验、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验收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、评审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费用由中标商承担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验收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合格后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按合同约定支付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五、项目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 w:eastAsia="zh-CN"/>
        </w:rPr>
        <w:t>具体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需求</w:t>
      </w:r>
    </w:p>
    <w:p>
      <w:pPr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1、本采购需求中提出的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方案仅为参考，如无明确限制，投标供应商可以进行优化，提供满足采购人实际需要的更优（或者性能实质上不低于的）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方案或者设备配置，且此方案或配置须经评标委员会评审认可；</w:t>
      </w:r>
    </w:p>
    <w:p>
      <w:pPr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2、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复评报告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能够满足采购人的使用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要求</w:t>
      </w:r>
    </w:p>
    <w:p>
      <w:pPr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3、投标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/>
        </w:rPr>
        <w:t>了解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项目需求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/>
        </w:rPr>
        <w:t>，如投标供应商中标后无法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/>
        </w:rPr>
        <w:t>完工，投标供应商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自行承担一切后果；</w:t>
      </w:r>
    </w:p>
    <w:p>
      <w:pPr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4、如对本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文件有任何疑问或澄清要求，请联系项目采购人，否则视同理解和接受，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开标后不再受理采购文件的质疑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zh-CN"/>
        </w:rPr>
        <w:t>。</w:t>
      </w:r>
    </w:p>
    <w:p>
      <w:pPr>
        <w:widowControl/>
        <w:spacing w:line="440" w:lineRule="exact"/>
        <w:ind w:right="15" w:rightChars="7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服务需求表</w:t>
      </w:r>
    </w:p>
    <w:p>
      <w:pPr>
        <w:widowControl/>
        <w:jc w:val="left"/>
        <w:rPr>
          <w:rFonts w:hint="eastAsia"/>
        </w:rPr>
      </w:pPr>
    </w:p>
    <w:tbl>
      <w:tblPr>
        <w:tblStyle w:val="16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17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采购项目名称</w:t>
            </w:r>
          </w:p>
        </w:tc>
        <w:tc>
          <w:tcPr>
            <w:tcW w:w="477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13"/>
              </w:tabs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幼儿园评估系统工具使用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训</w:t>
            </w:r>
          </w:p>
        </w:tc>
        <w:tc>
          <w:tcPr>
            <w:tcW w:w="4770" w:type="dxa"/>
            <w:vAlign w:val="center"/>
          </w:tcPr>
          <w:p>
            <w:pPr>
              <w:tabs>
                <w:tab w:val="left" w:pos="4813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相山区</w:t>
            </w:r>
            <w:r>
              <w:rPr>
                <w:rFonts w:hint="eastAsia" w:ascii="宋体" w:hAnsi="宋体" w:cs="宋体"/>
                <w:szCs w:val="21"/>
              </w:rPr>
              <w:t>进行相关业务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系统数据填报进行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学前教育普及普惠</w:t>
            </w:r>
            <w:r>
              <w:rPr>
                <w:rFonts w:hint="eastAsia" w:ascii="宋体" w:eastAsia="宋体" w:cs="宋体"/>
                <w:sz w:val="21"/>
                <w:szCs w:val="21"/>
              </w:rPr>
              <w:t>监测评估”信息平台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开发并提供系统平台使用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抽样实地评估（16所）</w:t>
            </w:r>
          </w:p>
        </w:tc>
        <w:tc>
          <w:tcPr>
            <w:tcW w:w="47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逐园出具双普达标“一园一案”分析报告，内容包括：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1.普及普惠（省标）逐项达标情况；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2.规范办园（国标）逐项达标情况；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3.家⻓认可度分析；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4.幼儿园“小学化”倾向排查情况；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5.幼儿园达标核查问题清单。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数据核算与测算</w:t>
            </w:r>
          </w:p>
        </w:tc>
        <w:tc>
          <w:tcPr>
            <w:tcW w:w="47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1.第三方摸底评估数据；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2.相山区年报事业数据；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3.双普涉及到的数据—参照摸底评估数据和相山区提供的各园数据：如（班点）面积、幼儿园基本信息和各岗位教职工配备数据、幼儿园规范程度、幼儿园保教质量保障等各项基础数据，做数据核验。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区域问题清单</w:t>
            </w:r>
          </w:p>
        </w:tc>
        <w:tc>
          <w:tcPr>
            <w:tcW w:w="47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县域普及普惠达标（省标）逐条逐园问题清单；县域规范办园达标（国标）逐条逐园问题清单；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社会认可度摸底调查</w:t>
            </w:r>
          </w:p>
        </w:tc>
        <w:tc>
          <w:tcPr>
            <w:tcW w:w="477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调查工具的使用：提供人大代表政协委员、全区域幼儿家⻓、教职工代表三类人群的调查工具，为每类调查对象发放信息化工具使用账号，授权被调查人群使用该套信息化工具。</w:t>
            </w:r>
          </w:p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信息采集与数据清洗：面向三类人群开展问卷调查（人大代表/政协委员、家⻓、教职工、园⻓），摸底阶段对幼儿家⻓全覆盖，找出待改进问题。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3按照三类人群分别出具区域认可度调查结果汇总报告，对各项指标的认可度予以分析，以便找问题、有效改进。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普及普惠摸底各项汇总分析报告</w:t>
            </w:r>
          </w:p>
        </w:tc>
        <w:tc>
          <w:tcPr>
            <w:tcW w:w="47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  <w:lang w:val="en-US"/>
              </w:rPr>
              <w:t>根据实地摸底、数据核验、资料核查情况，对标出具达标情况汇总分析报告，并附有各项工作缺口清单；对改进各项工作提出建议。可作为区域申报自评报告的参考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区域分项报告</w:t>
            </w:r>
          </w:p>
        </w:tc>
        <w:tc>
          <w:tcPr>
            <w:tcW w:w="47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1.县域普及普惠“国检”数据预核验统计报告；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2.县域“小学化”倾向排查结果分析报告；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3.县域保教质量保障基础数据核验分析报告；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交付委托方成果文件</w:t>
            </w:r>
          </w:p>
        </w:tc>
        <w:tc>
          <w:tcPr>
            <w:tcW w:w="47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1.相山区国家普及普惠县创建市级初核报告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2.市级初核相山区问题清单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3.市级初核相山社会认可度报告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4.市级初核相山小学化筛查报告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5.市级初核相山玩教具和图书核查报告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6.幼儿园规范办园情况市级核验报告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7.市级初核每一所幼儿园的评估报告和问题清单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8.市级初核反馈会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、评审办法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outlineLvl w:val="9"/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本次采用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竞争性磋商法评审。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zh-CN" w:eastAsia="zh-CN" w:bidi="ar"/>
        </w:rPr>
        <w:t>在符合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供应商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zh-CN" w:eastAsia="zh-CN" w:bidi="ar"/>
        </w:rPr>
        <w:t>资格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和满足采购需求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zh-CN" w:eastAsia="zh-CN" w:bidi="ar"/>
        </w:rPr>
        <w:t>的前提下，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zh-CN" w:eastAsia="zh-CN" w:bidi="ar"/>
        </w:rPr>
        <w:t>一轮报价，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综合打分法，满分100分。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按照投标人得分汇总从高到低推荐3名候选人。供应商报价超过采购预算的做废标处理；报名供应商不足三家不开标，做流标处理；实质性响应采购函要求不足三家做废标处理。有其他违法、违规行为的，或在评审过程中，供应商响项目报价明显超过市场平均价格，评审小组经评审后一致认定报价不合理的，可以认定其报价无效，做废标处理。供应商须理解合同不一定授予最低价格的供应商。货物参数和服务方案必须完全满足或优于货物需求，否则专家评审时可能会被视为不响应需求。计算得分四舍五入保留两位小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Autospacing="0" w:after="12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b/>
          <w:cap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综合评分细则具体如下：</w:t>
      </w:r>
    </w:p>
    <w:tbl>
      <w:tblPr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04"/>
        <w:gridCol w:w="630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评分内容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评分标准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技术资信分（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  <w:r>
              <w:rPr>
                <w:rFonts w:hint="eastAsia" w:ascii="Times New Roman" w:hAnsi="宋体" w:eastAsia="宋体" w:cs="宋体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评估专家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对投标人拟配备高水平专家团队进行综合评审。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1.专家组成结构合理性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（1）专家组成结构合理，满足采购人需求的，得 10 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（2）专家组成结构较合理，基本满足采购人需求，得 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（3）专家组成结构有待提升完善的，得 2 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（4）未提供相关内容或差的不得分。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2.专家相关经验丰富程度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（1）专家相关经验丰富的，得 10 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（2）专家相关经验较丰富的，得 6 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（3）专家相关经验有待提高的，得 2 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（4）未提供相关内容或差的不得分。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13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投标人业绩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1.自 2017 年 1 月 1 日以来（时间以合同签订时间为准，提供通知的以通知发出时间为准），投标人具有县（区）级及以上教育主管部门委托的学前教育普及普惠评估项目业绩的，每提供一个得 10 分，满分得 20 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2.自 2017 年 1 月 1 日以来（时间以合同签订时间为准，提供通知的以通知发出时间为准），投标人具有市级教育主管部门委托的相关督导评估项目业绩的，每提供一个得 10 分，满分得 20 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3.自 2017 年 1 月 1 日以来（时间以合同签订时间为准，提供通知的以通知发出时间为准），投标人具有县（区）级教育主管部门委托的相关督导评估项目业绩的，每提供一个得 5 分，满分得 20 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业绩合同的签订甲方须为教育主管部门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注：（1）投标文件中提供业绩合同扫描件，如合同中无法体现合同签订时间、项目内容的，须另附业主单位证明等相关证明材料；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（2）承接省教育厅（或教育部）的评审（评估）工作，提供文件通知即可，不需要提供合同。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（3）上述业绩为正在履约业绩或已完成业绩。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0-60分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履约反馈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以上经评委会评审的符合要求的业绩中，每有一个业绩获业主单位评价为良好（或满意）及以上的，得 2 分， 满分得 10 分。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注：投标文件中须提供用户履约评价材料扫描件。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10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价格分统一采用低价优先法，即满足招标文件要求且投标价格最低的投标报价为评标基准价，其价格分为满分 10 分。其他投标人的价格分统一按照下列公式计算：投标报价得分＝（评标基准价/投标报价）×10％× 100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2" w:lineRule="atLeast"/>
        <w:ind w:left="0" w:right="0" w:firstLine="0"/>
        <w:jc w:val="center"/>
        <w:outlineLvl w:val="9"/>
        <w:rPr>
          <w:rFonts w:hint="default" w:ascii="仿宋" w:hAnsi="仿宋" w:eastAsia="仿宋" w:cs="仿宋"/>
          <w:b/>
          <w:bCs/>
          <w:caps w:val="0"/>
          <w:color w:val="auto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pStyle w:val="14"/>
        <w:shd w:val="clear" w:color="auto" w:fill="FFFFFF"/>
        <w:spacing w:before="0" w:beforeAutospacing="0" w:after="0" w:afterAutospacing="0" w:line="22" w:lineRule="atLeas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七、报价函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（格式文件，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随意删减内容视作不响应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）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 xml:space="preserve">致采购人：XXX            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本公司十分高兴收到贵单位编号为             的采购函，我方已研究了该采购函的全部内容，完全理解并接受招标文件全部内容，现向贵单位就所采购的标的物做出如下报价：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一、责任与义务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本公司承诺：</w:t>
      </w:r>
    </w:p>
    <w:p>
      <w:pPr>
        <w:pStyle w:val="14"/>
        <w:numPr>
          <w:ilvl w:val="0"/>
          <w:numId w:val="2"/>
        </w:numPr>
        <w:shd w:val="clear" w:color="auto" w:fill="FFFFFF"/>
        <w:spacing w:before="0" w:beforeAutospacing="0" w:after="0" w:afterAutospacing="0" w:line="22" w:lineRule="atLeast"/>
        <w:ind w:left="0" w:right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本公司的报价函一旦为贵单位认可，该报价即为合同价。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包括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但不限于现场监测、业务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培训、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售后维护、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发票税金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验收前所有费用。</w:t>
      </w:r>
    </w:p>
    <w:p>
      <w:pPr>
        <w:pStyle w:val="14"/>
        <w:numPr>
          <w:ilvl w:val="0"/>
          <w:numId w:val="2"/>
        </w:numPr>
        <w:shd w:val="clear" w:color="auto" w:fill="FFFFFF"/>
        <w:spacing w:before="0" w:beforeAutospacing="0" w:after="0" w:afterAutospacing="0" w:line="22" w:lineRule="atLeast"/>
        <w:ind w:left="0"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本公司报价函一经发出，即不可撤回，否则我方愿意接受贵单位的处罚；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3、本公司完全理解本项目合同不一定授予最低报价的供应商。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4、本公司一旦有幸中标，完全具备独立完成此项目的能力，严格按照合同履约，不转包分包项目。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5、本公司满足《中华人民共和国政府采购法》第二十二条之规定。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6、本公司近三年来参加政府采购活动中未被列入失信名单，未发生违规违法行为，一经发现或在采购活动中弄虚作假的，自愿承担一切后果，直至追究法律责任。</w:t>
      </w:r>
    </w:p>
    <w:p>
      <w:pPr>
        <w:widowControl/>
        <w:spacing w:line="440" w:lineRule="exact"/>
        <w:ind w:right="15" w:rightChars="7"/>
        <w:jc w:val="center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二、报价表（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服务类项目格式自拟，但须分项报价并完全响应报价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）</w:t>
      </w:r>
    </w:p>
    <w:tbl>
      <w:tblPr>
        <w:tblStyle w:val="16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335"/>
        <w:gridCol w:w="1687"/>
        <w:gridCol w:w="16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大写金额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4"/>
        <w:numPr>
          <w:ilvl w:val="0"/>
          <w:numId w:val="3"/>
        </w:numPr>
        <w:shd w:val="clear" w:color="auto" w:fill="FFFFFF"/>
        <w:spacing w:before="0" w:beforeAutospacing="0" w:after="0" w:afterAutospacing="0" w:line="22" w:lineRule="atLeast"/>
        <w:ind w:right="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标的物响应表（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服务类项目格式自拟，但须完全响应服务需求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）</w:t>
      </w:r>
    </w:p>
    <w:tbl>
      <w:tblPr>
        <w:tblStyle w:val="16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54"/>
        <w:gridCol w:w="1706"/>
        <w:gridCol w:w="975"/>
        <w:gridCol w:w="1369"/>
        <w:gridCol w:w="144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采购需求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投标需求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服务内容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服务内容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（大写金额：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 xml:space="preserve"> （        ）           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14"/>
        <w:shd w:val="clear" w:color="auto" w:fill="FFFFFF"/>
        <w:spacing w:before="0" w:beforeAutospacing="0" w:after="0" w:afterAutospacing="0" w:line="22" w:lineRule="atLeast"/>
        <w:ind w:right="0"/>
        <w:rPr>
          <w:rFonts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四、服务期限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合同签订后，      。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五、须提交的相关资信证明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1、 营业执照（年审合格）影印件盖章；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2、 法人资格证明或法人授权委托书；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3、 相山区学前教育普及普惠创建市级复评方案响应表；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right="0"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4、 要求提供的售后服务等承诺函；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5、 招标公告要求提供的其他资质证明文件。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3920" w:firstLineChars="14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（公司盖章）     年  月  日</w:t>
      </w: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3920" w:firstLineChars="14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3920" w:firstLineChars="14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14"/>
        <w:shd w:val="clear" w:color="auto" w:fill="FFFFFF"/>
        <w:spacing w:before="0" w:beforeAutospacing="0" w:after="0" w:afterAutospacing="0" w:line="22" w:lineRule="atLeast"/>
        <w:ind w:firstLine="3920" w:firstLineChars="1400"/>
        <w:rPr>
          <w:rFonts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 xml:space="preserve">              （结束）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@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 Light">
    <w:altName w:val="方正黑体_GBK"/>
    <w:panose1 w:val="020B0502040204020203"/>
    <w:charset w:val="00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8" cy="133159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ZjYCfSAAAAAwEAAA8AAAAAAAAAAQAgAAAAOAAAAGRycy9kb3ducmV2&#10;LnhtbFBLAQIUABQAAAAIAIdO4kA2wcss7AEAAK4DAAAOAAAAAAAAAAEAIAAAADcBAABkcnMvZTJv&#10;RG9jLnhtbFBLBQYAAAAABgAGAFkBAACVBQAAAAA=&#10;">
              <v:fill on="f" focussize="0,0"/>
              <v:stroke on="f" weight="1.2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8D3FC"/>
    <w:multiLevelType w:val="singleLevel"/>
    <w:tmpl w:val="AF68D3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D00CD8"/>
    <w:multiLevelType w:val="singleLevel"/>
    <w:tmpl w:val="07D00CD8"/>
    <w:lvl w:ilvl="0" w:tentative="0">
      <w:start w:val="3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2">
    <w:nsid w:val="29352D81"/>
    <w:multiLevelType w:val="singleLevel"/>
    <w:tmpl w:val="29352D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7E77B918"/>
    <w:rsid w:val="CE4F8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  <w:rPr>
      <w:rFonts w:ascii="微软雅黑" w:hAnsi="微软雅黑" w:eastAsia="微软雅黑" w:cs="微软雅黑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7">
    <w:name w:val="table of authorities"/>
    <w:basedOn w:val="1"/>
    <w:next w:val="1"/>
    <w:qFormat/>
    <w:uiPriority w:val="0"/>
    <w:pPr>
      <w:ind w:left="200" w:leftChars="200"/>
    </w:pPr>
  </w:style>
  <w:style w:type="paragraph" w:styleId="8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next w:val="11"/>
    <w:qFormat/>
    <w:uiPriority w:val="0"/>
    <w:pPr>
      <w:spacing w:after="120" w:afterAutospacing="0"/>
      <w:ind w:left="200" w:leftChars="200"/>
    </w:pPr>
  </w:style>
  <w:style w:type="paragraph" w:styleId="11">
    <w:name w:val="envelope return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Cambria" w:hAnsi="Cambria"/>
      <w:sz w:val="24"/>
      <w:szCs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10"/>
    <w:qFormat/>
    <w:uiPriority w:val="0"/>
    <w:pPr>
      <w:ind w:firstLine="200" w:firstLineChars="200"/>
    </w:p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宋体" w:cs="Times New Roman"/>
    </w:rPr>
  </w:style>
  <w:style w:type="paragraph" w:customStyle="1" w:styleId="20">
    <w:name w:val="首行缩进"/>
    <w:basedOn w:val="1"/>
    <w:qFormat/>
    <w:uiPriority w:val="0"/>
    <w:pPr>
      <w:ind w:firstLine="200" w:firstLineChars="200"/>
    </w:pPr>
    <w:rPr>
      <w:lang w:val="zh-CN"/>
    </w:rPr>
  </w:style>
  <w:style w:type="character" w:customStyle="1" w:styleId="21">
    <w:name w:val="NormalCharacter"/>
    <w:qFormat/>
    <w:uiPriority w:val="0"/>
  </w:style>
  <w:style w:type="character" w:customStyle="1" w:styleId="22">
    <w:name w:val="font41"/>
    <w:basedOn w:val="17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71"/>
    <w:basedOn w:val="17"/>
    <w:qFormat/>
    <w:uiPriority w:val="0"/>
    <w:rPr>
      <w:rFonts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4">
    <w:name w:val="font51"/>
    <w:basedOn w:val="17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12"/>
    <w:basedOn w:val="17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6">
    <w:name w:val="font61"/>
    <w:basedOn w:val="1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"/>
    <w:basedOn w:val="1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8">
    <w:name w:val="font01"/>
    <w:basedOn w:val="17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paragraph" w:customStyle="1" w:styleId="29">
    <w:name w:val="Normal_0"/>
    <w:qFormat/>
    <w:uiPriority w:val="0"/>
    <w:pPr>
      <w:widowControl w:val="0"/>
      <w:spacing w:line="360" w:lineRule="atLeas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_Style 2"/>
    <w:basedOn w:val="29"/>
    <w:qFormat/>
    <w:uiPriority w:val="0"/>
    <w:pPr>
      <w:ind w:firstLine="200" w:firstLineChars="200"/>
    </w:pPr>
    <w:rPr>
      <w:rFonts w:cs="Calibri"/>
      <w:kern w:val="0"/>
      <w:sz w:val="20"/>
      <w:szCs w:val="24"/>
    </w:rPr>
  </w:style>
  <w:style w:type="paragraph" w:styleId="31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  <w:style w:type="paragraph" w:customStyle="1" w:styleId="32">
    <w:name w:val="_Style 20"/>
    <w:basedOn w:val="1"/>
    <w:next w:val="31"/>
    <w:qFormat/>
    <w:uiPriority w:val="0"/>
    <w:pPr>
      <w:ind w:firstLine="200" w:firstLineChars="200"/>
      <w:jc w:val="both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微软公司</Company>
  <Pages>7</Pages>
  <Words>0</Words>
  <Characters>2346</Characters>
  <Lines>0</Lines>
  <Paragraphs>58</Paragraphs>
  <TotalTime>2</TotalTime>
  <ScaleCrop>false</ScaleCrop>
  <LinksUpToDate>false</LinksUpToDate>
  <CharactersWithSpaces>3128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2017-02-28T01:20:00Z</dcterms:created>
  <dc:creator>Administrator</dc:creator>
  <cp:lastModifiedBy>user</cp:lastModifiedBy>
  <cp:lastPrinted>2021-07-21T16:34:00Z</cp:lastPrinted>
  <dcterms:modified xsi:type="dcterms:W3CDTF">2023-11-10T14:44:04Z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77B9090024FF4260806AB3250E131201</vt:lpwstr>
  </property>
</Properties>
</file>