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D41FD">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61E52D66"/>
    <w:p w14:paraId="174713B9"/>
    <w:p w14:paraId="4DE86F5F"/>
    <w:p w14:paraId="7A75CCC8"/>
    <w:p w14:paraId="3C4FA137"/>
    <w:p w14:paraId="0E564EDE"/>
    <w:p w14:paraId="3AEA5EF1"/>
    <w:p w14:paraId="44C432AF"/>
    <w:p w14:paraId="1241D650">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淮北市首府实验小学2024年</w:t>
      </w:r>
    </w:p>
    <w:p w14:paraId="7D649E02">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单位预算</w:t>
      </w:r>
    </w:p>
    <w:p w14:paraId="3A462A63"/>
    <w:p w14:paraId="7E0139BC"/>
    <w:p w14:paraId="43478D06"/>
    <w:p w14:paraId="6809CD0C"/>
    <w:p w14:paraId="465B02BE"/>
    <w:p w14:paraId="20F3EACE"/>
    <w:p w14:paraId="1D5C1DE7"/>
    <w:p w14:paraId="3E5DD3A8"/>
    <w:p w14:paraId="2A8A64AA"/>
    <w:p w14:paraId="5174D6DF"/>
    <w:p w14:paraId="7779F195"/>
    <w:p w14:paraId="4D5EEB0B"/>
    <w:p w14:paraId="1DC3B866"/>
    <w:p w14:paraId="71F0F543"/>
    <w:p w14:paraId="2262C893"/>
    <w:p w14:paraId="1C030B63"/>
    <w:p w14:paraId="4482FC66"/>
    <w:p w14:paraId="350920CC"/>
    <w:p w14:paraId="119588A2"/>
    <w:p w14:paraId="3BB7B53F"/>
    <w:p w14:paraId="0F36B3BE"/>
    <w:p w14:paraId="6068988A"/>
    <w:p w14:paraId="0DB8AC64">
      <w:pPr>
        <w:pStyle w:val="4"/>
        <w:adjustRightInd w:val="0"/>
        <w:snapToGrid w:val="0"/>
        <w:spacing w:line="560" w:lineRule="exact"/>
        <w:jc w:val="center"/>
        <w:rPr>
          <w:rFonts w:ascii="TimesNewRoman" w:hAnsi="TimesNewRoman" w:eastAsia="黑体" w:cs="TimesNewRoman"/>
          <w:bCs/>
          <w:sz w:val="44"/>
          <w:szCs w:val="44"/>
        </w:rPr>
      </w:pPr>
    </w:p>
    <w:p w14:paraId="0B79D13B">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2024年</w:t>
      </w:r>
      <w:r>
        <w:rPr>
          <w:rFonts w:hint="eastAsia" w:ascii="TimesNewRoman" w:hAnsi="TimesNewRoman" w:eastAsia="黑体" w:cs="TimesNewRoman"/>
          <w:bCs/>
          <w:sz w:val="44"/>
          <w:szCs w:val="44"/>
          <w:lang w:val="en-US" w:eastAsia="zh-CN"/>
        </w:rPr>
        <w:t>2</w:t>
      </w:r>
      <w:r>
        <w:rPr>
          <w:rFonts w:hint="eastAsia" w:ascii="TimesNewRoman" w:hAnsi="TimesNewRoman" w:eastAsia="黑体" w:cs="TimesNewRoman"/>
          <w:bCs/>
          <w:sz w:val="44"/>
          <w:szCs w:val="44"/>
        </w:rPr>
        <w:t>月</w:t>
      </w:r>
    </w:p>
    <w:p w14:paraId="627C3F01"/>
    <w:p w14:paraId="630629BD"/>
    <w:p w14:paraId="7C4E433B">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58A16CA6"/>
    <w:p w14:paraId="5C18613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w:t>
      </w:r>
      <w:r>
        <w:rPr>
          <w:rFonts w:hint="eastAsia" w:ascii="TimesNewRoman" w:hAnsi="TimesNewRoman" w:eastAsia="仿宋_GB2312" w:cs="TimesNewRoman"/>
          <w:b/>
          <w:sz w:val="32"/>
          <w:szCs w:val="32"/>
          <w:lang w:val="en-US" w:eastAsia="zh-CN"/>
        </w:rPr>
        <w:t xml:space="preserve"> </w:t>
      </w:r>
      <w:r>
        <w:rPr>
          <w:rFonts w:hint="eastAsia" w:ascii="TimesNewRoman" w:hAnsi="TimesNewRoman" w:eastAsia="仿宋_GB2312" w:cs="TimesNewRoman"/>
          <w:b/>
          <w:sz w:val="32"/>
          <w:szCs w:val="32"/>
        </w:rPr>
        <w:t>单位概况</w:t>
      </w:r>
    </w:p>
    <w:p w14:paraId="139FBB8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34B5E1E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14:paraId="3FEA99F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、2024年度主要工作任务</w:t>
      </w:r>
    </w:p>
    <w:p w14:paraId="02C7153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2024年单位预算表</w:t>
      </w:r>
    </w:p>
    <w:p w14:paraId="200A041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1、淮北市首府实验小学2024年收支总表</w:t>
      </w:r>
    </w:p>
    <w:p w14:paraId="406174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2、淮北市首府实验小学2024年收入总表</w:t>
      </w:r>
    </w:p>
    <w:p w14:paraId="17F0888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3、淮北市首府实验小学2024年支出总表</w:t>
      </w:r>
    </w:p>
    <w:p w14:paraId="26BC7C3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4、淮北市首府实验小学2024年财政拨款收支总表</w:t>
      </w:r>
    </w:p>
    <w:p w14:paraId="0B20A8B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5、淮北市首府实验小学2024年一般公共预算支出表</w:t>
      </w:r>
    </w:p>
    <w:p w14:paraId="15CC108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6、淮北市首府实验小学2024年一般公共预算基本支出表</w:t>
      </w:r>
    </w:p>
    <w:p w14:paraId="66A9A4B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7、淮北市首府实验小学2024年政府性基金预算支出表</w:t>
      </w:r>
    </w:p>
    <w:p w14:paraId="3D05799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8、淮北市首府实验小学2024年国有资本经营预算支出表</w:t>
      </w:r>
    </w:p>
    <w:p w14:paraId="1800F1FB">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9、淮北市首府实验小学2024年项目支出表</w:t>
      </w:r>
    </w:p>
    <w:p w14:paraId="4F72314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10、淮北市首府实验小学2024年政府采购支出表</w:t>
      </w:r>
    </w:p>
    <w:p w14:paraId="0D908418">
      <w:pPr>
        <w:pStyle w:val="4"/>
        <w:adjustRightInd w:val="0"/>
        <w:snapToGrid w:val="0"/>
        <w:spacing w:line="400" w:lineRule="exact"/>
        <w:ind w:firstLine="800" w:firstLineChars="250"/>
        <w:rPr>
          <w:rFonts w:hint="eastAsia" w:ascii="TimesNewRoman" w:hAnsi="TimesNewRoman" w:eastAsia="仿宋_GB2312" w:cs="TimesNewRoman"/>
          <w:bCs/>
          <w:sz w:val="32"/>
          <w:szCs w:val="32"/>
        </w:rPr>
      </w:pPr>
      <w:r>
        <w:rPr>
          <w:rFonts w:hint="eastAsia" w:ascii="TimesNewRoman" w:hAnsi="TimesNewRoman" w:eastAsia="仿宋_GB2312" w:cs="TimesNewRoman"/>
          <w:bCs/>
          <w:sz w:val="32"/>
          <w:szCs w:val="32"/>
        </w:rPr>
        <w:t>11、淮北市首府实验小学2024年政府购买服务支出表</w:t>
      </w:r>
    </w:p>
    <w:p w14:paraId="2653E8A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12、淮北市首府实验小学</w:t>
      </w:r>
      <w:r>
        <w:rPr>
          <w:rFonts w:ascii="TimesNewRoman" w:hAnsi="TimesNewRoman" w:eastAsia="仿宋_GB2312" w:cs="TimesNewRoman"/>
          <w:bCs/>
          <w:sz w:val="32"/>
          <w:szCs w:val="32"/>
        </w:rPr>
        <w:t>2024年通用资产配置支出表</w:t>
      </w:r>
    </w:p>
    <w:p w14:paraId="334DEEE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2024年单位预算情况说明</w:t>
      </w:r>
    </w:p>
    <w:p w14:paraId="4800ADB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1、关于2024年收支总表的说明</w:t>
      </w:r>
    </w:p>
    <w:p w14:paraId="183E0A3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2、关于2024年收入总表的说明</w:t>
      </w:r>
    </w:p>
    <w:p w14:paraId="15CFC6E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3、关于2024年支出总表的说明</w:t>
      </w:r>
    </w:p>
    <w:p w14:paraId="709AD9A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4、关于2024年财政拨款收支总表的说明</w:t>
      </w:r>
    </w:p>
    <w:p w14:paraId="3986FB5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5、关于2024年一般公共预算支出表的说明</w:t>
      </w:r>
    </w:p>
    <w:p w14:paraId="7878C6A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6、关于2024年一般公共预算基本支出表的说明</w:t>
      </w:r>
    </w:p>
    <w:p w14:paraId="3B1C895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7、关于2024年政府性基金预算支出表的说明</w:t>
      </w:r>
    </w:p>
    <w:p w14:paraId="329D031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8、关于2024年国有资本经营预算支出表的说明</w:t>
      </w:r>
    </w:p>
    <w:p w14:paraId="696E54C9">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9、关于2024年项目支出表的说明</w:t>
      </w:r>
    </w:p>
    <w:p w14:paraId="14F1D27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10、关于2024年政府采购支出表的说明</w:t>
      </w:r>
    </w:p>
    <w:p w14:paraId="6C679F8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11、关于2024年政府购买服务支出表的说明</w:t>
      </w:r>
    </w:p>
    <w:p w14:paraId="0E9E620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4A6D3409">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7F14D430">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20D0B5F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1、淮北市首府实验小学2024年部门预算纳入绩效考评项目表</w:t>
      </w:r>
    </w:p>
    <w:p w14:paraId="3BFB3CE1">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2、淮北市首府实验小学2024年部门预算专项资金管理清单（专栏公开）</w:t>
      </w:r>
    </w:p>
    <w:p w14:paraId="49BEEDE7">
      <w:pPr>
        <w:pStyle w:val="4"/>
        <w:adjustRightInd w:val="0"/>
        <w:snapToGrid w:val="0"/>
        <w:spacing w:line="400" w:lineRule="exact"/>
        <w:ind w:firstLine="800" w:firstLineChars="250"/>
        <w:rPr>
          <w:rFonts w:ascii="TimesNewRoman" w:hAnsi="TimesNewRoman" w:eastAsia="仿宋_GB2312" w:cs="TimesNewRoman"/>
          <w:bCs/>
          <w:sz w:val="32"/>
          <w:szCs w:val="32"/>
        </w:rPr>
      </w:pPr>
    </w:p>
    <w:p w14:paraId="5A45AE6B">
      <w:pPr>
        <w:pStyle w:val="4"/>
        <w:adjustRightInd w:val="0"/>
        <w:snapToGrid w:val="0"/>
        <w:spacing w:line="400" w:lineRule="exact"/>
        <w:ind w:firstLine="800" w:firstLineChars="250"/>
        <w:rPr>
          <w:rFonts w:ascii="TimesNewRoman" w:hAnsi="TimesNewRoman" w:eastAsia="仿宋_GB2312" w:cs="TimesNewRoman"/>
          <w:bCs/>
          <w:sz w:val="32"/>
          <w:szCs w:val="32"/>
        </w:rPr>
      </w:pPr>
    </w:p>
    <w:p w14:paraId="745B8309">
      <w:pPr>
        <w:pStyle w:val="4"/>
        <w:adjustRightInd w:val="0"/>
        <w:snapToGrid w:val="0"/>
        <w:spacing w:line="400" w:lineRule="exact"/>
        <w:ind w:firstLine="800" w:firstLineChars="250"/>
        <w:rPr>
          <w:rFonts w:ascii="TimesNewRoman" w:hAnsi="TimesNewRoman" w:eastAsia="仿宋_GB2312" w:cs="TimesNewRoman"/>
          <w:bCs/>
          <w:sz w:val="32"/>
          <w:szCs w:val="32"/>
        </w:rPr>
      </w:pPr>
    </w:p>
    <w:p w14:paraId="3F507288">
      <w:pPr>
        <w:pStyle w:val="4"/>
        <w:adjustRightInd w:val="0"/>
        <w:snapToGrid w:val="0"/>
        <w:spacing w:line="400" w:lineRule="exact"/>
        <w:ind w:firstLine="800" w:firstLineChars="250"/>
        <w:rPr>
          <w:rFonts w:ascii="TimesNewRoman" w:hAnsi="TimesNewRoman" w:eastAsia="仿宋_GB2312" w:cs="TimesNewRoman"/>
          <w:bCs/>
          <w:sz w:val="32"/>
          <w:szCs w:val="32"/>
        </w:rPr>
      </w:pPr>
    </w:p>
    <w:p w14:paraId="16BAA836">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单位概况</w:t>
      </w:r>
    </w:p>
    <w:p w14:paraId="106C3281"/>
    <w:p w14:paraId="1DEA2E9E">
      <w:pPr>
        <w:pStyle w:val="4"/>
        <w:adjustRightInd w:val="0"/>
        <w:snapToGrid w:val="0"/>
        <w:spacing w:line="560" w:lineRule="exact"/>
        <w:ind w:firstLine="627" w:firstLineChars="196"/>
        <w:rPr>
          <w:rFonts w:ascii="TimesNewRoman" w:hAnsi="TimesNewRoman" w:eastAsia="黑体" w:cs="TimesNewRoman"/>
          <w:bCs/>
          <w:color w:val="auto"/>
          <w:sz w:val="32"/>
          <w:szCs w:val="32"/>
        </w:rPr>
      </w:pPr>
      <w:r>
        <w:rPr>
          <w:rFonts w:hint="eastAsia" w:ascii="TimesNewRoman" w:hAnsi="TimesNewRoman" w:eastAsia="黑体" w:cs="TimesNewRoman"/>
          <w:bCs/>
          <w:color w:val="auto"/>
          <w:sz w:val="32"/>
          <w:szCs w:val="32"/>
        </w:rPr>
        <w:t>一、主要职责</w:t>
      </w:r>
    </w:p>
    <w:p w14:paraId="0FFAF1F2">
      <w:pPr>
        <w:pStyle w:val="4"/>
        <w:adjustRightInd w:val="0"/>
        <w:snapToGrid w:val="0"/>
        <w:spacing w:before="0" w:beforeAutospacing="0" w:after="0" w:afterAutospacing="0" w:line="500" w:lineRule="exact"/>
        <w:ind w:firstLine="640" w:firstLineChars="200"/>
        <w:outlineLvl w:val="0"/>
        <w:rPr>
          <w:rFonts w:hint="eastAsia" w:ascii="仿宋" w:hAnsi="仿宋" w:eastAsia="仿宋" w:cs="仿宋"/>
          <w:bCs/>
          <w:color w:val="auto"/>
          <w:sz w:val="32"/>
          <w:szCs w:val="32"/>
        </w:rPr>
      </w:pPr>
      <w:r>
        <w:rPr>
          <w:rFonts w:hint="eastAsia" w:ascii="仿宋" w:hAnsi="仿宋" w:eastAsia="仿宋" w:cs="仿宋"/>
          <w:bCs/>
          <w:color w:val="auto"/>
          <w:sz w:val="32"/>
          <w:szCs w:val="32"/>
        </w:rPr>
        <w:t>（一）正确贯彻执行党和国家的教育方针、政策和法律法规，实施素质教育。</w:t>
      </w:r>
    </w:p>
    <w:p w14:paraId="70892438">
      <w:pPr>
        <w:pStyle w:val="4"/>
        <w:adjustRightInd w:val="0"/>
        <w:snapToGrid w:val="0"/>
        <w:spacing w:before="0" w:beforeAutospacing="0" w:after="0" w:afterAutospacing="0" w:line="500" w:lineRule="exact"/>
        <w:ind w:firstLine="640" w:firstLineChars="200"/>
        <w:outlineLvl w:val="0"/>
        <w:rPr>
          <w:rFonts w:hint="eastAsia" w:ascii="仿宋" w:hAnsi="仿宋" w:eastAsia="仿宋" w:cs="仿宋"/>
          <w:bCs/>
          <w:color w:val="auto"/>
          <w:sz w:val="32"/>
          <w:szCs w:val="32"/>
        </w:rPr>
      </w:pPr>
      <w:r>
        <w:rPr>
          <w:rFonts w:hint="eastAsia" w:ascii="仿宋" w:hAnsi="仿宋" w:eastAsia="仿宋" w:cs="仿宋"/>
          <w:bCs/>
          <w:color w:val="auto"/>
          <w:sz w:val="32"/>
          <w:szCs w:val="32"/>
        </w:rPr>
        <w:t>（二）维护学校的正常教学秩序，为学生创造一个良好的学习环境。</w:t>
      </w:r>
    </w:p>
    <w:p w14:paraId="69F91128">
      <w:pPr>
        <w:pStyle w:val="4"/>
        <w:adjustRightInd w:val="0"/>
        <w:snapToGrid w:val="0"/>
        <w:spacing w:before="0" w:beforeAutospacing="0" w:after="0" w:afterAutospacing="0" w:line="500" w:lineRule="exact"/>
        <w:ind w:firstLine="640" w:firstLineChars="200"/>
        <w:outlineLvl w:val="0"/>
        <w:rPr>
          <w:rFonts w:hint="eastAsia" w:ascii="仿宋" w:hAnsi="仿宋" w:eastAsia="仿宋" w:cs="仿宋"/>
          <w:bCs/>
          <w:color w:val="auto"/>
          <w:sz w:val="32"/>
          <w:szCs w:val="32"/>
        </w:rPr>
      </w:pPr>
      <w:r>
        <w:rPr>
          <w:rFonts w:hint="eastAsia" w:ascii="仿宋" w:hAnsi="仿宋" w:eastAsia="仿宋" w:cs="仿宋"/>
          <w:bCs/>
          <w:color w:val="auto"/>
          <w:sz w:val="32"/>
          <w:szCs w:val="32"/>
        </w:rPr>
        <w:t>（三）根据学校规模，合理设置学校管理机构，建立健全各项规章制度和岗位责任制。</w:t>
      </w:r>
    </w:p>
    <w:p w14:paraId="423148CD">
      <w:pPr>
        <w:pStyle w:val="4"/>
        <w:adjustRightInd w:val="0"/>
        <w:snapToGrid w:val="0"/>
        <w:spacing w:before="0" w:beforeAutospacing="0" w:after="0" w:afterAutospacing="0" w:line="500" w:lineRule="exact"/>
        <w:ind w:firstLine="640" w:firstLineChars="200"/>
        <w:outlineLvl w:val="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（四）坚持教书育人，服务育人，环境育人方针，加强对学生的思想道德、心理品质及行为规范教育，认真贯彻上级和学校有关学生工作指示精神，使学生的德智体全面发展。 </w:t>
      </w:r>
    </w:p>
    <w:p w14:paraId="0B3EE49F">
      <w:pPr>
        <w:pStyle w:val="4"/>
        <w:adjustRightInd w:val="0"/>
        <w:snapToGrid w:val="0"/>
        <w:spacing w:before="0" w:beforeAutospacing="0" w:after="0" w:afterAutospacing="0" w:line="500" w:lineRule="exact"/>
        <w:ind w:firstLine="640" w:firstLineChars="200"/>
        <w:outlineLvl w:val="0"/>
        <w:rPr>
          <w:rFonts w:hint="eastAsia" w:ascii="仿宋" w:hAnsi="仿宋" w:eastAsia="仿宋" w:cs="仿宋"/>
          <w:bCs/>
          <w:color w:val="auto"/>
          <w:sz w:val="32"/>
          <w:szCs w:val="32"/>
        </w:rPr>
      </w:pPr>
      <w:r>
        <w:rPr>
          <w:rFonts w:hint="eastAsia" w:ascii="仿宋" w:hAnsi="仿宋" w:eastAsia="仿宋" w:cs="仿宋"/>
          <w:bCs/>
          <w:color w:val="auto"/>
          <w:sz w:val="32"/>
          <w:szCs w:val="32"/>
        </w:rPr>
        <w:t>（五）制定、组织和实施学校教学工作计划，抓好教师队伍建设，使每个教师都热心于教育事业。</w:t>
      </w:r>
    </w:p>
    <w:p w14:paraId="20329402">
      <w:pPr>
        <w:pStyle w:val="4"/>
        <w:adjustRightInd w:val="0"/>
        <w:snapToGrid w:val="0"/>
        <w:spacing w:before="0" w:beforeAutospacing="0" w:after="0" w:afterAutospacing="0" w:line="500" w:lineRule="exact"/>
        <w:ind w:firstLine="640" w:firstLineChars="200"/>
        <w:outlineLvl w:val="0"/>
        <w:rPr>
          <w:rFonts w:hint="eastAsia" w:ascii="仿宋" w:hAnsi="仿宋" w:eastAsia="仿宋" w:cs="仿宋"/>
          <w:bCs/>
          <w:color w:val="auto"/>
          <w:sz w:val="32"/>
          <w:szCs w:val="32"/>
        </w:rPr>
      </w:pPr>
      <w:r>
        <w:rPr>
          <w:rFonts w:hint="eastAsia" w:ascii="仿宋" w:hAnsi="仿宋" w:eastAsia="仿宋" w:cs="仿宋"/>
          <w:bCs/>
          <w:color w:val="auto"/>
          <w:sz w:val="32"/>
          <w:szCs w:val="32"/>
        </w:rPr>
        <w:t>（六）做好安全防范、负责校园环境和学生安全治理，组织对全校师生进行法制宣传和安全教育，保证学生的人身安全。</w:t>
      </w:r>
    </w:p>
    <w:p w14:paraId="701801D9">
      <w:pPr>
        <w:pStyle w:val="4"/>
        <w:adjustRightInd w:val="0"/>
        <w:snapToGrid w:val="0"/>
        <w:spacing w:before="0" w:beforeAutospacing="0" w:after="0" w:afterAutospacing="0" w:line="500" w:lineRule="exact"/>
        <w:ind w:firstLine="640" w:firstLineChars="200"/>
        <w:outlineLvl w:val="0"/>
        <w:rPr>
          <w:rFonts w:hint="eastAsia" w:ascii="仿宋" w:hAnsi="仿宋" w:eastAsia="仿宋" w:cs="仿宋"/>
          <w:bCs/>
          <w:color w:val="auto"/>
          <w:sz w:val="32"/>
          <w:szCs w:val="32"/>
        </w:rPr>
      </w:pPr>
      <w:r>
        <w:rPr>
          <w:rFonts w:hint="eastAsia" w:ascii="仿宋" w:hAnsi="仿宋" w:eastAsia="仿宋" w:cs="仿宋"/>
          <w:bCs/>
          <w:color w:val="auto"/>
          <w:sz w:val="32"/>
          <w:szCs w:val="32"/>
        </w:rPr>
        <w:t>（七）按要求承办市教育局交办的其他工作。</w:t>
      </w:r>
    </w:p>
    <w:p w14:paraId="50FB4FE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二、单位预算构成</w:t>
      </w:r>
    </w:p>
    <w:p w14:paraId="2C8EAB3C">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从预算单位构成看，</w:t>
      </w: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sz w:val="32"/>
          <w:szCs w:val="32"/>
        </w:rPr>
        <w:t>2024年度部门预算仅包括本级预算，无其他下属单位预算。</w:t>
      </w:r>
    </w:p>
    <w:p w14:paraId="74699E8B">
      <w:pPr>
        <w:pStyle w:val="4"/>
        <w:adjustRightInd w:val="0"/>
        <w:snapToGrid w:val="0"/>
        <w:spacing w:line="560" w:lineRule="exact"/>
        <w:ind w:firstLine="627" w:firstLineChars="196"/>
        <w:rPr>
          <w:rFonts w:ascii="TimesNewRoman" w:hAnsi="TimesNewRoman" w:eastAsia="黑体" w:cs="TimesNewRoman"/>
          <w:bCs/>
          <w:color w:val="auto"/>
          <w:sz w:val="32"/>
          <w:szCs w:val="32"/>
        </w:rPr>
      </w:pPr>
      <w:r>
        <w:rPr>
          <w:rFonts w:hint="eastAsia" w:ascii="TimesNewRoman" w:hAnsi="TimesNewRoman" w:eastAsia="黑体" w:cs="TimesNewRoman"/>
          <w:bCs/>
          <w:color w:val="auto"/>
          <w:sz w:val="32"/>
          <w:szCs w:val="32"/>
        </w:rPr>
        <w:t>三、2024年度主要工作任务</w:t>
      </w:r>
    </w:p>
    <w:p w14:paraId="3A30F538">
      <w:pPr>
        <w:pStyle w:val="4"/>
        <w:adjustRightInd w:val="0"/>
        <w:snapToGrid w:val="0"/>
        <w:spacing w:before="0" w:beforeAutospacing="0" w:after="0" w:afterAutospacing="0" w:line="360" w:lineRule="auto"/>
        <w:ind w:firstLine="627" w:firstLineChars="196"/>
        <w:jc w:val="both"/>
        <w:rPr>
          <w:rFonts w:hint="eastAsia" w:ascii="仿宋" w:hAnsi="仿宋" w:eastAsia="仿宋"/>
          <w:bCs/>
          <w:color w:val="auto"/>
          <w:sz w:val="32"/>
          <w:szCs w:val="32"/>
        </w:rPr>
      </w:pPr>
      <w:r>
        <w:rPr>
          <w:rFonts w:hint="eastAsia" w:ascii="仿宋" w:hAnsi="仿宋" w:eastAsia="仿宋"/>
          <w:bCs/>
          <w:color w:val="auto"/>
          <w:sz w:val="32"/>
          <w:szCs w:val="32"/>
        </w:rPr>
        <w:t>（一）全面加强教师队伍建设。</w:t>
      </w:r>
    </w:p>
    <w:p w14:paraId="34E51F21">
      <w:pPr>
        <w:pStyle w:val="4"/>
        <w:adjustRightInd w:val="0"/>
        <w:snapToGrid w:val="0"/>
        <w:spacing w:before="0" w:beforeAutospacing="0" w:after="0" w:afterAutospacing="0" w:line="360" w:lineRule="auto"/>
        <w:ind w:firstLine="627" w:firstLineChars="196"/>
        <w:jc w:val="both"/>
        <w:rPr>
          <w:rFonts w:hint="eastAsia" w:ascii="仿宋" w:hAnsi="仿宋" w:eastAsia="仿宋"/>
          <w:bCs/>
          <w:color w:val="auto"/>
          <w:sz w:val="32"/>
          <w:szCs w:val="32"/>
        </w:rPr>
      </w:pPr>
      <w:r>
        <w:rPr>
          <w:rFonts w:hint="eastAsia" w:ascii="仿宋" w:hAnsi="仿宋" w:eastAsia="仿宋"/>
          <w:bCs/>
          <w:color w:val="auto"/>
          <w:sz w:val="32"/>
          <w:szCs w:val="32"/>
        </w:rPr>
        <w:t>（二）全面改善学校办学条件。</w:t>
      </w:r>
    </w:p>
    <w:p w14:paraId="65842D1C">
      <w:pPr>
        <w:pStyle w:val="4"/>
        <w:adjustRightInd w:val="0"/>
        <w:snapToGrid w:val="0"/>
        <w:spacing w:before="0" w:beforeAutospacing="0" w:after="0" w:afterAutospacing="0" w:line="360" w:lineRule="auto"/>
        <w:ind w:firstLine="627" w:firstLineChars="196"/>
        <w:jc w:val="both"/>
        <w:rPr>
          <w:rFonts w:hint="eastAsia" w:ascii="仿宋" w:hAnsi="仿宋" w:eastAsia="仿宋"/>
          <w:bCs/>
          <w:color w:val="auto"/>
          <w:sz w:val="32"/>
          <w:szCs w:val="32"/>
        </w:rPr>
      </w:pPr>
      <w:r>
        <w:rPr>
          <w:rFonts w:hint="eastAsia" w:ascii="仿宋" w:hAnsi="仿宋" w:eastAsia="仿宋"/>
          <w:bCs/>
          <w:color w:val="auto"/>
          <w:sz w:val="32"/>
          <w:szCs w:val="32"/>
        </w:rPr>
        <w:t>（三）全面加强校园安全管理。</w:t>
      </w:r>
    </w:p>
    <w:p w14:paraId="20EDD2D5">
      <w:pPr>
        <w:pStyle w:val="4"/>
        <w:adjustRightInd w:val="0"/>
        <w:snapToGrid w:val="0"/>
        <w:spacing w:before="0" w:beforeAutospacing="0" w:after="0" w:afterAutospacing="0" w:line="360" w:lineRule="auto"/>
        <w:ind w:firstLine="627" w:firstLineChars="196"/>
        <w:jc w:val="both"/>
        <w:rPr>
          <w:rFonts w:hint="eastAsia" w:ascii="仿宋" w:hAnsi="仿宋" w:eastAsia="仿宋"/>
          <w:bCs/>
          <w:color w:val="auto"/>
          <w:sz w:val="32"/>
          <w:szCs w:val="32"/>
        </w:rPr>
      </w:pPr>
      <w:r>
        <w:rPr>
          <w:rFonts w:hint="eastAsia" w:ascii="仿宋" w:hAnsi="仿宋" w:eastAsia="仿宋"/>
          <w:bCs/>
          <w:color w:val="auto"/>
          <w:sz w:val="32"/>
          <w:szCs w:val="32"/>
        </w:rPr>
        <w:t>（四）全面推进学校快速协调发展。</w:t>
      </w:r>
    </w:p>
    <w:p w14:paraId="53159F29">
      <w:pPr>
        <w:pStyle w:val="4"/>
        <w:adjustRightInd w:val="0"/>
        <w:snapToGrid w:val="0"/>
        <w:spacing w:before="0" w:beforeAutospacing="0" w:after="0" w:afterAutospacing="0" w:line="360" w:lineRule="auto"/>
        <w:ind w:firstLine="627" w:firstLineChars="196"/>
        <w:jc w:val="both"/>
        <w:rPr>
          <w:color w:val="auto"/>
        </w:rPr>
      </w:pPr>
      <w:r>
        <w:rPr>
          <w:rFonts w:hint="eastAsia" w:ascii="仿宋" w:hAnsi="仿宋" w:eastAsia="仿宋"/>
          <w:bCs/>
          <w:color w:val="auto"/>
          <w:sz w:val="32"/>
          <w:szCs w:val="32"/>
        </w:rPr>
        <w:t>（五）做好疫情防控工作。</w:t>
      </w:r>
    </w:p>
    <w:p w14:paraId="644FDA02"/>
    <w:p w14:paraId="6F3CCF51">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2024年单位预算表</w:t>
      </w:r>
    </w:p>
    <w:p w14:paraId="432498EA">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054604DB">
      <w:r>
        <w:t xml:space="preserve">                                        </w:t>
      </w:r>
    </w:p>
    <w:p w14:paraId="59604307">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2024年单位预算情况说明</w:t>
      </w:r>
    </w:p>
    <w:p w14:paraId="762AF613"/>
    <w:p w14:paraId="4B08CFD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一、关于2024年收支总表的说明</w:t>
      </w:r>
    </w:p>
    <w:p w14:paraId="03AB9804">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按照综合预算的原则，</w:t>
      </w: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sz w:val="32"/>
          <w:szCs w:val="32"/>
        </w:rPr>
        <w:t>所有收入和支出均纳入单位</w:t>
      </w:r>
      <w:bookmarkStart w:id="0" w:name="_GoBack"/>
      <w:bookmarkEnd w:id="0"/>
      <w:r>
        <w:rPr>
          <w:rFonts w:hint="eastAsia" w:ascii="TimesNewRoman" w:hAnsi="TimesNewRoman" w:eastAsia="仿宋_GB2312" w:cs="TimesNewRoman"/>
          <w:sz w:val="32"/>
          <w:szCs w:val="32"/>
        </w:rPr>
        <w:t>预算管理。</w:t>
      </w: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sz w:val="32"/>
          <w:szCs w:val="32"/>
        </w:rPr>
        <w:t>2024年收支总预算</w:t>
      </w:r>
      <w:r>
        <w:rPr>
          <w:rFonts w:hint="eastAsia" w:ascii="TimesNewRoman" w:hAnsi="TimesNewRoman" w:eastAsia="仿宋_GB2312" w:cs="TimesNewRoman"/>
          <w:sz w:val="32"/>
          <w:szCs w:val="32"/>
          <w:lang w:val="en-US" w:eastAsia="zh-CN"/>
        </w:rPr>
        <w:t>2421.21</w:t>
      </w:r>
      <w:r>
        <w:rPr>
          <w:rFonts w:hint="eastAsia" w:ascii="TimesNewRoman" w:hAnsi="TimesNewRoman" w:eastAsia="仿宋_GB2312" w:cs="TimesNewRoman"/>
          <w:sz w:val="32"/>
          <w:szCs w:val="32"/>
        </w:rPr>
        <w:t>万元，</w:t>
      </w:r>
      <w:r>
        <w:rPr>
          <w:rFonts w:hint="eastAsia" w:ascii="TimesNewRoman" w:hAnsi="TimesNewRoman" w:eastAsia="仿宋_GB2312" w:cs="TimesNewRoman"/>
          <w:bCs/>
          <w:sz w:val="32"/>
          <w:szCs w:val="32"/>
        </w:rPr>
        <w:t>收入全部是一般公共预算拨款收入</w:t>
      </w:r>
      <w:r>
        <w:rPr>
          <w:rFonts w:hint="eastAsia" w:ascii="TimesNewRoman" w:hAnsi="TimesNewRoman" w:eastAsia="仿宋_GB2312" w:cs="TimesNewRoman"/>
          <w:bCs/>
          <w:sz w:val="32"/>
          <w:szCs w:val="32"/>
          <w:lang w:val="en-US" w:eastAsia="zh-CN"/>
        </w:rPr>
        <w:t>2421.21</w:t>
      </w:r>
      <w:r>
        <w:rPr>
          <w:rFonts w:hint="eastAsia" w:ascii="TimesNewRoman" w:hAnsi="TimesNewRoman" w:eastAsia="仿宋_GB2312" w:cs="TimesNewRoman"/>
          <w:bCs/>
          <w:sz w:val="32"/>
          <w:szCs w:val="32"/>
        </w:rPr>
        <w:t>万元，支</w:t>
      </w:r>
      <w:r>
        <w:rPr>
          <w:rFonts w:hint="eastAsia" w:ascii="TimesNewRoman" w:hAnsi="TimesNewRoman" w:eastAsia="仿宋_GB2312" w:cs="TimesNewRoman"/>
          <w:sz w:val="32"/>
          <w:szCs w:val="32"/>
        </w:rPr>
        <w:t>出包括：</w:t>
      </w:r>
      <w:r>
        <w:rPr>
          <w:rFonts w:hint="eastAsia" w:ascii="TimesNewRoman" w:hAnsi="TimesNewRoman" w:eastAsia="仿宋_GB2312" w:cs="TimesNewRoman"/>
          <w:sz w:val="32"/>
          <w:szCs w:val="32"/>
          <w:lang w:val="en-US" w:eastAsia="zh-CN"/>
        </w:rPr>
        <w:t>教育</w:t>
      </w:r>
      <w:r>
        <w:rPr>
          <w:rFonts w:hint="eastAsia" w:ascii="TimesNewRoman" w:hAnsi="TimesNewRoman" w:eastAsia="仿宋_GB2312" w:cs="TimesNewRoman"/>
          <w:sz w:val="32"/>
          <w:szCs w:val="32"/>
        </w:rPr>
        <w:t>支出、社会保障和就业支出、卫生健康支出、住房保障支出。</w:t>
      </w:r>
    </w:p>
    <w:p w14:paraId="66537C6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二、关于2024年收入总表的说明</w:t>
      </w:r>
    </w:p>
    <w:p w14:paraId="201C0F1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2024年收入预算</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万元，其中，本年收入</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w:t>
      </w:r>
    </w:p>
    <w:p w14:paraId="389BC445">
      <w:pPr>
        <w:ind w:firstLine="643"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w:t>
      </w:r>
      <w:r>
        <w:rPr>
          <w:rFonts w:hint="eastAsia" w:ascii="TimesNewRoman" w:hAnsi="TimesNewRoman" w:eastAsia="仿宋_GB2312" w:cs="TimesNewRoman"/>
          <w:b/>
          <w:kern w:val="0"/>
          <w:sz w:val="32"/>
          <w:szCs w:val="32"/>
          <w:lang w:val="en-US" w:eastAsia="zh-CN"/>
        </w:rPr>
        <w:t>2421.21</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主要包括：一般公共预算拨款收入</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%，比2023年预算增加</w:t>
      </w:r>
      <w:r>
        <w:rPr>
          <w:rFonts w:hint="eastAsia" w:ascii="TimesNewRoman" w:hAnsi="TimesNewRoman" w:eastAsia="仿宋_GB2312" w:cs="TimesNewRoman"/>
          <w:kern w:val="0"/>
          <w:sz w:val="32"/>
          <w:szCs w:val="32"/>
          <w:lang w:val="en-US" w:eastAsia="zh-CN"/>
        </w:rPr>
        <w:t>466.81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23.89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33名在编教师的工资、社保及公积金等各项基本预算安排</w:t>
      </w:r>
      <w:r>
        <w:rPr>
          <w:rFonts w:hint="eastAsia" w:ascii="TimesNewRoman" w:hAnsi="TimesNewRoman" w:eastAsia="仿宋_GB2312" w:cs="TimesNewRoman"/>
          <w:kern w:val="0"/>
          <w:sz w:val="32"/>
          <w:szCs w:val="32"/>
        </w:rPr>
        <w:t>；政府性基金预算拨款收入0万元，占0%，比2023年预算增加0万元，增长0%，原因主要是</w:t>
      </w: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2023年、2024年均无政府性基金预算拨款收入；财政专户管理资金收入0万元，占0%，比2023年预算增加0万元，增长0%，原因主要是</w:t>
      </w: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2023年、2024年均无财政专户管理资金收入。</w:t>
      </w:r>
    </w:p>
    <w:p w14:paraId="05DC09E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三、关于2024年支出总表的说明</w:t>
      </w:r>
    </w:p>
    <w:p w14:paraId="002AB69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2024年支出预算</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466.81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23.89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33名在编教师的工资、社保及公积金等各项基本预算安排</w:t>
      </w:r>
      <w:r>
        <w:rPr>
          <w:rFonts w:hint="eastAsia"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lang w:val="en-US" w:eastAsia="zh-CN"/>
        </w:rPr>
        <w:t>2266.77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93.62</w:t>
      </w:r>
      <w:r>
        <w:rPr>
          <w:rFonts w:hint="eastAsia" w:ascii="TimesNewRoman" w:hAnsi="TimesNewRoman" w:eastAsia="仿宋_GB2312" w:cs="TimesNewRoman"/>
          <w:kern w:val="0"/>
          <w:sz w:val="32"/>
          <w:szCs w:val="32"/>
        </w:rPr>
        <w:t>%，主要用于保障机构日常运转、完成日常工作任务；项目支出</w:t>
      </w:r>
      <w:r>
        <w:rPr>
          <w:rFonts w:hint="eastAsia" w:ascii="TimesNewRoman" w:hAnsi="TimesNewRoman" w:eastAsia="仿宋_GB2312" w:cs="TimesNewRoman"/>
          <w:kern w:val="0"/>
          <w:sz w:val="32"/>
          <w:szCs w:val="32"/>
          <w:lang w:val="en-US" w:eastAsia="zh-CN"/>
        </w:rPr>
        <w:t>154.44</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6.38</w:t>
      </w:r>
      <w:r>
        <w:rPr>
          <w:rFonts w:hint="eastAsia" w:ascii="TimesNewRoman" w:hAnsi="TimesNewRoman" w:eastAsia="仿宋_GB2312" w:cs="TimesNewRoman"/>
          <w:kern w:val="0"/>
          <w:sz w:val="32"/>
          <w:szCs w:val="32"/>
        </w:rPr>
        <w:t>%，主要用于</w:t>
      </w:r>
      <w:r>
        <w:rPr>
          <w:rFonts w:hint="eastAsia" w:ascii="仿宋_GB2312" w:hAnsi="仿宋" w:eastAsia="仿宋_GB2312"/>
          <w:sz w:val="32"/>
          <w:szCs w:val="32"/>
        </w:rPr>
        <w:t>设备购置及校园改造维修</w:t>
      </w:r>
      <w:r>
        <w:rPr>
          <w:rFonts w:hint="eastAsia" w:ascii="仿宋_GB2312" w:hAnsi="仿宋" w:eastAsia="仿宋_GB2312"/>
          <w:sz w:val="32"/>
          <w:szCs w:val="32"/>
          <w:lang w:eastAsia="zh-CN"/>
        </w:rPr>
        <w:t>、日常工作运转等</w:t>
      </w:r>
      <w:r>
        <w:rPr>
          <w:rFonts w:hint="eastAsia" w:ascii="TimesNewRoman" w:hAnsi="TimesNewRoman" w:eastAsia="仿宋_GB2312" w:cs="TimesNewRoman"/>
          <w:kern w:val="0"/>
          <w:sz w:val="32"/>
          <w:szCs w:val="32"/>
        </w:rPr>
        <w:t>。</w:t>
      </w:r>
    </w:p>
    <w:p w14:paraId="51503F07">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四、关于2024年财政拨款收支总表的说明</w:t>
      </w:r>
    </w:p>
    <w:p w14:paraId="33559E2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2024年财政拨款收支预算</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万元。收入按资金来源分为：一般公共预算拨款</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万元、政府性基金预算拨款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万元；按资金年度分为：本年财政拨款收入</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万元。支出按功能分类分为：</w:t>
      </w:r>
      <w:r>
        <w:rPr>
          <w:rFonts w:hint="eastAsia" w:ascii="TimesNewRoman" w:hAnsi="TimesNewRoman" w:eastAsia="仿宋_GB2312" w:cs="TimesNewRoman"/>
          <w:kern w:val="0"/>
          <w:sz w:val="32"/>
          <w:szCs w:val="32"/>
          <w:lang w:eastAsia="zh-CN"/>
        </w:rPr>
        <w:t>教育</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1640.19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67.74</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329.28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13.6</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109.18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4.51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342.56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14.15</w:t>
      </w:r>
      <w:r>
        <w:rPr>
          <w:rFonts w:hint="eastAsia" w:ascii="TimesNewRoman" w:hAnsi="TimesNewRoman" w:eastAsia="仿宋_GB2312" w:cs="TimesNewRoman"/>
          <w:kern w:val="0"/>
          <w:sz w:val="32"/>
          <w:szCs w:val="32"/>
        </w:rPr>
        <w:t>%。</w:t>
      </w:r>
    </w:p>
    <w:p w14:paraId="3A7F5A4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五、关于2024年一般公共预算支出表的说明</w:t>
      </w:r>
    </w:p>
    <w:p w14:paraId="6389A61B">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62957E5B">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2024年一般公共预算支出</w:t>
      </w:r>
      <w:r>
        <w:rPr>
          <w:rFonts w:hint="eastAsia" w:ascii="TimesNewRoman" w:hAnsi="TimesNewRoman" w:eastAsia="仿宋_GB2312" w:cs="TimesNewRoman"/>
          <w:kern w:val="0"/>
          <w:sz w:val="32"/>
          <w:szCs w:val="32"/>
          <w:lang w:val="en-US" w:eastAsia="zh-CN"/>
        </w:rPr>
        <w:t>2421.21</w:t>
      </w:r>
      <w:r>
        <w:rPr>
          <w:rFonts w:hint="eastAsia" w:ascii="TimesNewRoman" w:hAnsi="TimesNewRoman" w:eastAsia="仿宋_GB2312" w:cs="TimesNewRoman"/>
          <w:kern w:val="0"/>
          <w:sz w:val="32"/>
          <w:szCs w:val="32"/>
        </w:rPr>
        <w:t>万元，比2023年预算增加增加</w:t>
      </w:r>
      <w:r>
        <w:rPr>
          <w:rFonts w:hint="eastAsia" w:ascii="TimesNewRoman" w:hAnsi="TimesNewRoman" w:eastAsia="仿宋_GB2312" w:cs="TimesNewRoman"/>
          <w:kern w:val="0"/>
          <w:sz w:val="32"/>
          <w:szCs w:val="32"/>
          <w:lang w:val="en-US" w:eastAsia="zh-CN"/>
        </w:rPr>
        <w:t>466.81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23.89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33名在编教师的工资、社保及公积金等各项基本预算安排</w:t>
      </w:r>
      <w:r>
        <w:rPr>
          <w:rFonts w:hint="eastAsia" w:ascii="TimesNewRoman" w:hAnsi="TimesNewRoman" w:eastAsia="仿宋_GB2312" w:cs="TimesNewRoman"/>
          <w:kern w:val="0"/>
          <w:sz w:val="32"/>
          <w:szCs w:val="32"/>
        </w:rPr>
        <w:t>。</w:t>
      </w:r>
    </w:p>
    <w:p w14:paraId="14472A6E">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3A2500E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eastAsia="zh-CN"/>
        </w:rPr>
        <w:t>教育</w:t>
      </w:r>
      <w:r>
        <w:rPr>
          <w:rFonts w:hint="eastAsia" w:ascii="TimesNewRoman" w:hAnsi="TimesNewRoman" w:eastAsia="仿宋_GB2312" w:cs="TimesNewRoman"/>
          <w:kern w:val="0"/>
          <w:sz w:val="32"/>
          <w:szCs w:val="32"/>
        </w:rPr>
        <w:t>支出</w:t>
      </w:r>
      <w:r>
        <w:rPr>
          <w:rFonts w:hint="eastAsia" w:ascii="TimesNewRoman" w:hAnsi="TimesNewRoman" w:eastAsia="仿宋_GB2312" w:cs="TimesNewRoman"/>
          <w:kern w:val="0"/>
          <w:sz w:val="32"/>
          <w:szCs w:val="32"/>
          <w:lang w:val="en-US" w:eastAsia="zh-CN"/>
        </w:rPr>
        <w:t>1640.19</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67.74</w:t>
      </w:r>
      <w:r>
        <w:rPr>
          <w:rFonts w:hint="eastAsia" w:ascii="TimesNewRoman" w:hAnsi="TimesNewRoman" w:eastAsia="仿宋_GB2312" w:cs="TimesNewRoman"/>
          <w:kern w:val="0"/>
          <w:sz w:val="32"/>
          <w:szCs w:val="32"/>
        </w:rPr>
        <w:t>%；社会保障和就业支出</w:t>
      </w:r>
      <w:r>
        <w:rPr>
          <w:rFonts w:hint="eastAsia" w:ascii="TimesNewRoman" w:hAnsi="TimesNewRoman" w:eastAsia="仿宋_GB2312" w:cs="TimesNewRoman"/>
          <w:kern w:val="0"/>
          <w:sz w:val="32"/>
          <w:szCs w:val="32"/>
          <w:lang w:val="en-US" w:eastAsia="zh-CN"/>
        </w:rPr>
        <w:t>329.28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13.6</w:t>
      </w:r>
      <w:r>
        <w:rPr>
          <w:rFonts w:hint="eastAsia" w:ascii="TimesNewRoman" w:hAnsi="TimesNewRoman" w:eastAsia="仿宋_GB2312" w:cs="TimesNewRoman"/>
          <w:kern w:val="0"/>
          <w:sz w:val="32"/>
          <w:szCs w:val="32"/>
        </w:rPr>
        <w:t>%；卫生健康支出</w:t>
      </w:r>
      <w:r>
        <w:rPr>
          <w:rFonts w:hint="eastAsia" w:ascii="TimesNewRoman" w:hAnsi="TimesNewRoman" w:eastAsia="仿宋_GB2312" w:cs="TimesNewRoman"/>
          <w:kern w:val="0"/>
          <w:sz w:val="32"/>
          <w:szCs w:val="32"/>
          <w:lang w:val="en-US" w:eastAsia="zh-CN"/>
        </w:rPr>
        <w:t>109.18</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4.51</w:t>
      </w:r>
      <w:r>
        <w:rPr>
          <w:rFonts w:hint="eastAsia" w:ascii="TimesNewRoman" w:hAnsi="TimesNewRoman" w:eastAsia="仿宋_GB2312" w:cs="TimesNewRoman"/>
          <w:kern w:val="0"/>
          <w:sz w:val="32"/>
          <w:szCs w:val="32"/>
        </w:rPr>
        <w:t>%；住房保障支出</w:t>
      </w:r>
      <w:r>
        <w:rPr>
          <w:rFonts w:hint="eastAsia" w:ascii="TimesNewRoman" w:hAnsi="TimesNewRoman" w:eastAsia="仿宋_GB2312" w:cs="TimesNewRoman"/>
          <w:kern w:val="0"/>
          <w:sz w:val="32"/>
          <w:szCs w:val="32"/>
          <w:lang w:val="en-US" w:eastAsia="zh-CN"/>
        </w:rPr>
        <w:t>342.56</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14.15</w:t>
      </w:r>
      <w:r>
        <w:rPr>
          <w:rFonts w:hint="eastAsia" w:ascii="TimesNewRoman" w:hAnsi="TimesNewRoman" w:eastAsia="仿宋_GB2312" w:cs="TimesNewRoman"/>
          <w:kern w:val="0"/>
          <w:sz w:val="32"/>
          <w:szCs w:val="32"/>
        </w:rPr>
        <w:t>%。</w:t>
      </w:r>
    </w:p>
    <w:p w14:paraId="6E22CAE5">
      <w:pPr>
        <w:ind w:firstLine="640" w:firstLineChars="200"/>
        <w:rPr>
          <w:rFonts w:ascii="TimesNewRoman" w:hAnsi="TimesNewRoman" w:eastAsia="仿宋_GB2312" w:cs="TimesNewRoman"/>
          <w:kern w:val="0"/>
          <w:sz w:val="32"/>
          <w:szCs w:val="32"/>
        </w:rPr>
      </w:pPr>
    </w:p>
    <w:p w14:paraId="6C584D00">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0E97244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1、教育支出（类）普通教育（款）小学教育（项）2024年预算</w:t>
      </w:r>
      <w:r>
        <w:rPr>
          <w:rFonts w:hint="eastAsia" w:ascii="TimesNewRoman" w:hAnsi="TimesNewRoman" w:eastAsia="仿宋_GB2312" w:cs="TimesNewRoman"/>
          <w:kern w:val="0"/>
          <w:sz w:val="32"/>
          <w:szCs w:val="32"/>
          <w:lang w:val="en-US" w:eastAsia="zh-CN"/>
        </w:rPr>
        <w:t>1640.19</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308.94</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23.21</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33名在编教师的工资、社保及公积金等各项基本预算安排</w:t>
      </w:r>
      <w:r>
        <w:rPr>
          <w:rFonts w:hint="eastAsia" w:ascii="TimesNewRoman" w:hAnsi="TimesNewRoman" w:eastAsia="仿宋_GB2312" w:cs="TimesNewRoman"/>
          <w:kern w:val="0"/>
          <w:sz w:val="32"/>
          <w:szCs w:val="32"/>
        </w:rPr>
        <w:t>。</w:t>
      </w:r>
    </w:p>
    <w:p w14:paraId="4182B96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2、社会保障和就业支出（类）行政事业单位养老支出（款）机关事业单位基本养老保险缴费支出（项）2024年预算</w:t>
      </w:r>
      <w:r>
        <w:rPr>
          <w:rFonts w:hint="eastAsia" w:ascii="TimesNewRoman" w:hAnsi="TimesNewRoman" w:eastAsia="仿宋_GB2312" w:cs="TimesNewRoman"/>
          <w:kern w:val="0"/>
          <w:sz w:val="32"/>
          <w:szCs w:val="32"/>
          <w:lang w:val="en-US" w:eastAsia="zh-CN"/>
        </w:rPr>
        <w:t>215.05</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43.5</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25.36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w:t>
      </w:r>
      <w:r>
        <w:rPr>
          <w:rFonts w:hint="eastAsia" w:ascii="TimesNewRoman" w:hAnsi="TimesNewRoman" w:eastAsia="仿宋_GB2312" w:cs="TimesNewRoman"/>
          <w:kern w:val="0"/>
          <w:sz w:val="32"/>
          <w:szCs w:val="32"/>
        </w:rPr>
        <w:t>。</w:t>
      </w:r>
    </w:p>
    <w:p w14:paraId="0AD77DE9">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3、社会保障和就业支出（类）行政事业单位养老支出（款）机关事业单位职业年金缴费支出（项）2024年预算</w:t>
      </w:r>
      <w:r>
        <w:rPr>
          <w:rFonts w:hint="eastAsia" w:ascii="TimesNewRoman" w:hAnsi="TimesNewRoman" w:eastAsia="仿宋_GB2312" w:cs="TimesNewRoman"/>
          <w:kern w:val="0"/>
          <w:sz w:val="32"/>
          <w:szCs w:val="32"/>
          <w:lang w:val="en-US" w:eastAsia="zh-CN"/>
        </w:rPr>
        <w:t>107.53</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21.75</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25.36</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w:t>
      </w:r>
      <w:r>
        <w:rPr>
          <w:rFonts w:hint="eastAsia" w:ascii="TimesNewRoman" w:hAnsi="TimesNewRoman" w:eastAsia="仿宋_GB2312" w:cs="TimesNewRoman"/>
          <w:kern w:val="0"/>
          <w:sz w:val="32"/>
          <w:szCs w:val="32"/>
        </w:rPr>
        <w:t>。</w:t>
      </w:r>
    </w:p>
    <w:p w14:paraId="15C2CDF5">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社会保障和就业支出（类）其他社会保障和就业支出（款）其他社会保障和就业支出（项）2024年预算</w:t>
      </w:r>
      <w:r>
        <w:rPr>
          <w:rFonts w:hint="eastAsia" w:ascii="TimesNewRoman" w:hAnsi="TimesNewRoman" w:eastAsia="仿宋_GB2312" w:cs="TimesNewRoman"/>
          <w:kern w:val="0"/>
          <w:sz w:val="32"/>
          <w:szCs w:val="32"/>
          <w:lang w:val="en-US" w:eastAsia="zh-CN"/>
        </w:rPr>
        <w:t>6.7</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1.39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26.18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w:t>
      </w:r>
      <w:r>
        <w:rPr>
          <w:rFonts w:hint="eastAsia" w:ascii="TimesNewRoman" w:hAnsi="TimesNewRoman" w:eastAsia="仿宋_GB2312" w:cs="TimesNewRoman"/>
          <w:kern w:val="0"/>
          <w:sz w:val="32"/>
          <w:szCs w:val="32"/>
        </w:rPr>
        <w:t>。</w:t>
      </w:r>
    </w:p>
    <w:p w14:paraId="23F89A2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5、</w:t>
      </w:r>
      <w:r>
        <w:rPr>
          <w:rFonts w:hint="eastAsia" w:ascii="TimesNewRoman" w:hAnsi="TimesNewRoman" w:eastAsia="仿宋_GB2312" w:cs="TimesNewRoman"/>
          <w:kern w:val="0"/>
          <w:sz w:val="32"/>
          <w:szCs w:val="32"/>
        </w:rPr>
        <w:t>卫生健康支出（类）行政事业单位医疗（款）事业单位医疗支出（项）2024年预算</w:t>
      </w:r>
      <w:r>
        <w:rPr>
          <w:rFonts w:hint="eastAsia" w:ascii="TimesNewRoman" w:hAnsi="TimesNewRoman" w:eastAsia="仿宋_GB2312" w:cs="TimesNewRoman"/>
          <w:kern w:val="0"/>
          <w:sz w:val="32"/>
          <w:szCs w:val="32"/>
          <w:lang w:val="en-US" w:eastAsia="zh-CN"/>
        </w:rPr>
        <w:t>80.44</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16.71</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26.22</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w:t>
      </w:r>
      <w:r>
        <w:rPr>
          <w:rFonts w:hint="eastAsia" w:ascii="TimesNewRoman" w:hAnsi="TimesNewRoman" w:eastAsia="仿宋_GB2312" w:cs="TimesNewRoman"/>
          <w:kern w:val="0"/>
          <w:sz w:val="32"/>
          <w:szCs w:val="32"/>
        </w:rPr>
        <w:t>。</w:t>
      </w:r>
    </w:p>
    <w:p w14:paraId="1CC47D8E">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卫生健康支出（类）行政事业单位医疗（款）公务员医疗补助（项）2024年预算</w:t>
      </w:r>
      <w:r>
        <w:rPr>
          <w:rFonts w:hint="eastAsia" w:ascii="TimesNewRoman" w:hAnsi="TimesNewRoman" w:eastAsia="仿宋_GB2312" w:cs="TimesNewRoman"/>
          <w:kern w:val="0"/>
          <w:sz w:val="32"/>
          <w:szCs w:val="32"/>
          <w:lang w:val="en-US" w:eastAsia="zh-CN"/>
        </w:rPr>
        <w:t>28.73</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5.97</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26.23</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w:t>
      </w:r>
      <w:r>
        <w:rPr>
          <w:rFonts w:hint="eastAsia" w:ascii="TimesNewRoman" w:hAnsi="TimesNewRoman" w:eastAsia="仿宋_GB2312" w:cs="TimesNewRoman"/>
          <w:kern w:val="0"/>
          <w:sz w:val="32"/>
          <w:szCs w:val="32"/>
        </w:rPr>
        <w:t>。</w:t>
      </w:r>
    </w:p>
    <w:p w14:paraId="547A42D1">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7</w:t>
      </w:r>
      <w:r>
        <w:rPr>
          <w:rFonts w:hint="eastAsia" w:ascii="TimesNewRoman" w:hAnsi="TimesNewRoman" w:eastAsia="仿宋_GB2312" w:cs="TimesNewRoman"/>
          <w:kern w:val="0"/>
          <w:sz w:val="32"/>
          <w:szCs w:val="32"/>
        </w:rPr>
        <w:t>、住房保障支出（类）住房改革支出（款）住房公积金（项）2024年预算</w:t>
      </w:r>
      <w:r>
        <w:rPr>
          <w:rFonts w:hint="eastAsia" w:ascii="TimesNewRoman" w:hAnsi="TimesNewRoman" w:eastAsia="仿宋_GB2312" w:cs="TimesNewRoman"/>
          <w:kern w:val="0"/>
          <w:sz w:val="32"/>
          <w:szCs w:val="32"/>
          <w:lang w:val="en-US" w:eastAsia="zh-CN"/>
        </w:rPr>
        <w:t>205.54</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68.59</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50.08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w:t>
      </w:r>
      <w:r>
        <w:rPr>
          <w:rFonts w:hint="eastAsia" w:ascii="TimesNewRoman" w:hAnsi="TimesNewRoman" w:eastAsia="仿宋_GB2312" w:cs="TimesNewRoman"/>
          <w:kern w:val="0"/>
          <w:sz w:val="32"/>
          <w:szCs w:val="32"/>
        </w:rPr>
        <w:t>。</w:t>
      </w:r>
    </w:p>
    <w:p w14:paraId="7B187EAB">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8</w:t>
      </w:r>
      <w:r>
        <w:rPr>
          <w:rFonts w:hint="eastAsia" w:ascii="TimesNewRoman" w:hAnsi="TimesNewRoman" w:eastAsia="仿宋_GB2312" w:cs="TimesNewRoman"/>
          <w:kern w:val="0"/>
          <w:sz w:val="32"/>
          <w:szCs w:val="32"/>
        </w:rPr>
        <w:t>、住房保障支出（类）住房改革支出（款）提租补贴（项）2024年预算</w:t>
      </w:r>
      <w:r>
        <w:rPr>
          <w:rFonts w:hint="eastAsia" w:ascii="TimesNewRoman" w:hAnsi="TimesNewRoman" w:eastAsia="仿宋_GB2312" w:cs="TimesNewRoman"/>
          <w:kern w:val="0"/>
          <w:sz w:val="32"/>
          <w:szCs w:val="32"/>
          <w:lang w:val="en-US" w:eastAsia="zh-CN"/>
        </w:rPr>
        <w:t>51.38</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51.38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val="en-US" w:eastAsia="zh-CN"/>
        </w:rPr>
        <w:t>2023年未做此预算</w:t>
      </w:r>
      <w:r>
        <w:rPr>
          <w:rFonts w:hint="eastAsia" w:ascii="TimesNewRoman" w:hAnsi="TimesNewRoman" w:eastAsia="仿宋_GB2312" w:cs="TimesNewRoman"/>
          <w:kern w:val="0"/>
          <w:sz w:val="32"/>
          <w:szCs w:val="32"/>
        </w:rPr>
        <w:t>。</w:t>
      </w:r>
    </w:p>
    <w:p w14:paraId="3EC49E0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、住房保障支出（类）住房改革支出（款）购房补贴（项）2024年预算</w:t>
      </w:r>
      <w:r>
        <w:rPr>
          <w:rFonts w:hint="eastAsia" w:ascii="TimesNewRoman" w:hAnsi="TimesNewRoman" w:eastAsia="仿宋_GB2312" w:cs="TimesNewRoman"/>
          <w:kern w:val="0"/>
          <w:sz w:val="32"/>
          <w:szCs w:val="32"/>
          <w:lang w:val="en-US" w:eastAsia="zh-CN"/>
        </w:rPr>
        <w:t>85.64</w:t>
      </w:r>
      <w:r>
        <w:rPr>
          <w:rFonts w:hint="eastAsia" w:ascii="TimesNewRoman" w:hAnsi="TimesNewRoman" w:eastAsia="仿宋_GB2312" w:cs="TimesNewRoman"/>
          <w:kern w:val="0"/>
          <w:sz w:val="32"/>
          <w:szCs w:val="32"/>
        </w:rPr>
        <w:t>万元，比2023年预算增加</w:t>
      </w:r>
      <w:r>
        <w:rPr>
          <w:rFonts w:hint="eastAsia" w:ascii="TimesNewRoman" w:hAnsi="TimesNewRoman" w:eastAsia="仿宋_GB2312" w:cs="TimesNewRoman"/>
          <w:kern w:val="0"/>
          <w:sz w:val="32"/>
          <w:szCs w:val="32"/>
          <w:lang w:val="en-US" w:eastAsia="zh-CN"/>
        </w:rPr>
        <w:t>28.58</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50.08</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新增</w:t>
      </w:r>
      <w:r>
        <w:rPr>
          <w:rFonts w:hint="eastAsia" w:ascii="TimesNewRoman" w:hAnsi="TimesNewRoman" w:eastAsia="仿宋_GB2312" w:cs="TimesNewRoman"/>
          <w:kern w:val="0"/>
          <w:sz w:val="32"/>
          <w:szCs w:val="32"/>
          <w:lang w:val="en-US" w:eastAsia="zh-CN"/>
        </w:rPr>
        <w:t>33名在编教师</w:t>
      </w:r>
      <w:r>
        <w:rPr>
          <w:rFonts w:hint="eastAsia" w:ascii="TimesNewRoman" w:hAnsi="TimesNewRoman" w:eastAsia="仿宋_GB2312" w:cs="TimesNewRoman"/>
          <w:kern w:val="0"/>
          <w:sz w:val="32"/>
          <w:szCs w:val="32"/>
        </w:rPr>
        <w:t>。</w:t>
      </w:r>
    </w:p>
    <w:p w14:paraId="4915200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六、关于2024年一般公共预算基本支出表的说明</w:t>
      </w:r>
    </w:p>
    <w:p w14:paraId="3BB1C7C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2024年一般公共预算基本支出</w:t>
      </w:r>
      <w:r>
        <w:rPr>
          <w:rFonts w:hint="eastAsia" w:ascii="TimesNewRoman" w:hAnsi="TimesNewRoman" w:eastAsia="仿宋_GB2312" w:cs="TimesNewRoman"/>
          <w:kern w:val="0"/>
          <w:sz w:val="32"/>
          <w:szCs w:val="32"/>
          <w:lang w:val="en-US" w:eastAsia="zh-CN"/>
        </w:rPr>
        <w:t>2266.77</w:t>
      </w:r>
      <w:r>
        <w:rPr>
          <w:rFonts w:hint="eastAsia" w:ascii="TimesNewRoman" w:hAnsi="TimesNewRoman" w:eastAsia="仿宋_GB2312" w:cs="TimesNewRoman"/>
          <w:kern w:val="0"/>
          <w:sz w:val="32"/>
          <w:szCs w:val="32"/>
        </w:rPr>
        <w:t>万元，其中，人员经费</w:t>
      </w:r>
      <w:r>
        <w:rPr>
          <w:rFonts w:hint="eastAsia" w:ascii="TimesNewRoman" w:hAnsi="TimesNewRoman" w:eastAsia="仿宋_GB2312" w:cs="TimesNewRoman"/>
          <w:kern w:val="0"/>
          <w:sz w:val="32"/>
          <w:szCs w:val="32"/>
          <w:lang w:val="en-US" w:eastAsia="zh-CN"/>
        </w:rPr>
        <w:t>2150.77</w:t>
      </w:r>
      <w:r>
        <w:rPr>
          <w:rFonts w:hint="eastAsia" w:ascii="TimesNewRoman" w:hAnsi="TimesNewRoman" w:eastAsia="仿宋_GB2312" w:cs="TimesNewRoman"/>
          <w:kern w:val="0"/>
          <w:sz w:val="32"/>
          <w:szCs w:val="32"/>
        </w:rPr>
        <w:t>万元，公用经费</w:t>
      </w:r>
      <w:r>
        <w:rPr>
          <w:rFonts w:hint="eastAsia" w:ascii="TimesNewRoman" w:hAnsi="TimesNewRoman" w:eastAsia="仿宋_GB2312" w:cs="TimesNewRoman"/>
          <w:kern w:val="0"/>
          <w:sz w:val="32"/>
          <w:szCs w:val="32"/>
          <w:lang w:val="en-US" w:eastAsia="zh-CN"/>
        </w:rPr>
        <w:t>116</w:t>
      </w:r>
      <w:r>
        <w:rPr>
          <w:rFonts w:hint="eastAsia" w:ascii="TimesNewRoman" w:hAnsi="TimesNewRoman" w:eastAsia="仿宋_GB2312" w:cs="TimesNewRoman"/>
          <w:kern w:val="0"/>
          <w:sz w:val="32"/>
          <w:szCs w:val="32"/>
        </w:rPr>
        <w:t>万元。</w:t>
      </w:r>
    </w:p>
    <w:p w14:paraId="13E55FAD">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（一）人员经费</w:t>
      </w:r>
      <w:r>
        <w:rPr>
          <w:rFonts w:hint="eastAsia" w:ascii="TimesNewRoman" w:hAnsi="TimesNewRoman" w:eastAsia="仿宋_GB2312" w:cs="TimesNewRoman"/>
          <w:b/>
          <w:kern w:val="0"/>
          <w:sz w:val="32"/>
          <w:szCs w:val="32"/>
          <w:lang w:val="en-US" w:eastAsia="zh-CN"/>
        </w:rPr>
        <w:t>2150.77</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主要包括:基本工资、津贴补贴、奖金、绩效工资、机关事业单位基本养老保险费、职业年金缴费、职工基本医疗保险缴费、公务员医疗补助缴费、其他社会保障缴费、</w:t>
      </w:r>
      <w:r>
        <w:rPr>
          <w:rFonts w:hint="eastAsia" w:ascii="TimesNewRoman" w:hAnsi="TimesNewRoman" w:eastAsia="仿宋_GB2312" w:cs="TimesNewRoman"/>
          <w:kern w:val="0"/>
          <w:sz w:val="32"/>
          <w:szCs w:val="32"/>
          <w:lang w:eastAsia="zh-CN"/>
        </w:rPr>
        <w:t>办公费、</w:t>
      </w:r>
      <w:r>
        <w:rPr>
          <w:rFonts w:hint="eastAsia" w:ascii="TimesNewRoman" w:hAnsi="TimesNewRoman" w:eastAsia="仿宋_GB2312" w:cs="TimesNewRoman"/>
          <w:kern w:val="0"/>
          <w:sz w:val="32"/>
          <w:szCs w:val="32"/>
        </w:rPr>
        <w:t>工会经费、福利费、住房公积金、对其他个人和家庭的补助支出。</w:t>
      </w:r>
    </w:p>
    <w:p w14:paraId="5C8D344A">
      <w:pPr>
        <w:pStyle w:val="4"/>
        <w:adjustRightInd w:val="0"/>
        <w:snapToGrid w:val="0"/>
        <w:spacing w:line="560" w:lineRule="exact"/>
        <w:ind w:firstLine="630" w:firstLineChars="196"/>
        <w:rPr>
          <w:rFonts w:hint="eastAsia" w:ascii="TimesNewRoman" w:hAnsi="TimesNewRoman" w:eastAsia="仿宋_GB2312" w:cs="TimesNewRoman"/>
          <w:color w:val="FF0000"/>
          <w:sz w:val="32"/>
          <w:szCs w:val="32"/>
          <w:lang w:eastAsia="zh-CN"/>
        </w:rPr>
      </w:pPr>
      <w:r>
        <w:rPr>
          <w:rFonts w:hint="eastAsia" w:ascii="TimesNewRoman" w:hAnsi="TimesNewRoman" w:eastAsia="仿宋_GB2312" w:cs="TimesNewRoman"/>
          <w:b/>
          <w:kern w:val="0"/>
          <w:sz w:val="32"/>
          <w:szCs w:val="32"/>
        </w:rPr>
        <w:t>（二）公用经费</w:t>
      </w:r>
      <w:r>
        <w:rPr>
          <w:rFonts w:hint="eastAsia" w:ascii="TimesNewRoman" w:hAnsi="TimesNewRoman" w:eastAsia="仿宋_GB2312" w:cs="TimesNewRoman"/>
          <w:b/>
          <w:kern w:val="0"/>
          <w:sz w:val="32"/>
          <w:szCs w:val="32"/>
          <w:lang w:val="en-US" w:eastAsia="zh-CN"/>
        </w:rPr>
        <w:t>116</w:t>
      </w:r>
      <w:r>
        <w:rPr>
          <w:rFonts w:hint="eastAsia" w:ascii="TimesNewRoman" w:hAnsi="TimesNewRoman" w:eastAsia="仿宋_GB2312" w:cs="TimesNewRoman"/>
          <w:b/>
          <w:kern w:val="0"/>
          <w:sz w:val="32"/>
          <w:szCs w:val="32"/>
        </w:rPr>
        <w:t>万元，</w:t>
      </w:r>
      <w:r>
        <w:rPr>
          <w:rFonts w:hint="eastAsia" w:ascii="TimesNewRoman" w:hAnsi="TimesNewRoman" w:eastAsia="仿宋_GB2312" w:cs="TimesNewRoman"/>
          <w:kern w:val="0"/>
          <w:sz w:val="32"/>
          <w:szCs w:val="32"/>
        </w:rPr>
        <w:t>主要包括：办公费、</w:t>
      </w:r>
      <w:r>
        <w:rPr>
          <w:rFonts w:hint="eastAsia" w:ascii="TimesNewRoman" w:hAnsi="TimesNewRoman" w:eastAsia="仿宋_GB2312" w:cs="TimesNewRoman"/>
          <w:kern w:val="0"/>
          <w:sz w:val="32"/>
          <w:szCs w:val="32"/>
          <w:lang w:eastAsia="zh-CN"/>
        </w:rPr>
        <w:t>咨询</w:t>
      </w:r>
      <w:r>
        <w:rPr>
          <w:rFonts w:hint="eastAsia" w:ascii="TimesNewRoman" w:hAnsi="TimesNewRoman" w:eastAsia="仿宋_GB2312" w:cs="TimesNewRoman"/>
          <w:kern w:val="0"/>
          <w:sz w:val="32"/>
          <w:szCs w:val="32"/>
        </w:rPr>
        <w:t>费、差旅费、维修（护）费、培训费、公务接待费、专用材料费、劳务费、委托业务费、其他交通费用、其他商品服务支出</w:t>
      </w:r>
      <w:r>
        <w:rPr>
          <w:rFonts w:hint="eastAsia" w:ascii="TimesNewRoman" w:hAnsi="TimesNewRoman" w:eastAsia="仿宋_GB2312" w:cs="TimesNewRoman"/>
          <w:kern w:val="0"/>
          <w:sz w:val="32"/>
          <w:szCs w:val="32"/>
          <w:lang w:eastAsia="zh-CN"/>
        </w:rPr>
        <w:t>。</w:t>
      </w:r>
    </w:p>
    <w:p w14:paraId="4723ADA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七、关于2024年政府性基金预算支出表的说明</w:t>
      </w:r>
    </w:p>
    <w:p w14:paraId="465D656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2024年没有政府性基金预算拨款收入，也没有使用政府性基金预算拨款安排的支出。</w:t>
      </w:r>
    </w:p>
    <w:p w14:paraId="7D7C79B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八、关于2024年国有资本经营预算支出表的说明</w:t>
      </w:r>
    </w:p>
    <w:p w14:paraId="601A2C7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2024年没有国有资本经营预算拨款收入，也没有使用国有资本经营预算拨款安排的支出。</w:t>
      </w:r>
    </w:p>
    <w:p w14:paraId="0D6452E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九、关于2024年项目支出表的说明</w:t>
      </w:r>
    </w:p>
    <w:p w14:paraId="427551B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2024年预算共安排项目支出</w:t>
      </w:r>
      <w:r>
        <w:rPr>
          <w:rFonts w:hint="eastAsia" w:ascii="TimesNewRoman" w:hAnsi="TimesNewRoman" w:eastAsia="仿宋_GB2312" w:cs="TimesNewRoman"/>
          <w:kern w:val="0"/>
          <w:sz w:val="32"/>
          <w:szCs w:val="32"/>
          <w:lang w:val="en-US" w:eastAsia="zh-CN"/>
        </w:rPr>
        <w:t>154.44</w:t>
      </w:r>
      <w:r>
        <w:rPr>
          <w:rFonts w:hint="eastAsia" w:ascii="TimesNewRoman" w:hAnsi="TimesNewRoman" w:eastAsia="仿宋_GB2312" w:cs="TimesNewRoman"/>
          <w:kern w:val="0"/>
          <w:sz w:val="32"/>
          <w:szCs w:val="32"/>
        </w:rPr>
        <w:t>万元，比2023年预算减少</w:t>
      </w:r>
      <w:r>
        <w:rPr>
          <w:rFonts w:hint="eastAsia" w:ascii="TimesNewRoman" w:hAnsi="TimesNewRoman" w:eastAsia="仿宋_GB2312" w:cs="TimesNewRoman"/>
          <w:kern w:val="0"/>
          <w:sz w:val="32"/>
          <w:szCs w:val="32"/>
          <w:lang w:val="en-US" w:eastAsia="zh-CN"/>
        </w:rPr>
        <w:t>12.5</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7.49</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设备购置及校园改造维修等预算减少</w:t>
      </w:r>
      <w:r>
        <w:rPr>
          <w:rFonts w:hint="eastAsia" w:ascii="TimesNewRoman" w:hAnsi="TimesNewRoman" w:eastAsia="仿宋_GB2312" w:cs="TimesNewRoman"/>
          <w:kern w:val="0"/>
          <w:sz w:val="32"/>
          <w:szCs w:val="32"/>
        </w:rPr>
        <w:t>。主要包括：本年财政拨款安排</w:t>
      </w:r>
      <w:r>
        <w:rPr>
          <w:rFonts w:hint="eastAsia" w:ascii="TimesNewRoman" w:hAnsi="TimesNewRoman" w:eastAsia="仿宋_GB2312" w:cs="TimesNewRoman"/>
          <w:kern w:val="0"/>
          <w:sz w:val="32"/>
          <w:szCs w:val="32"/>
          <w:lang w:val="en-US" w:eastAsia="zh-CN"/>
        </w:rPr>
        <w:t>154.44</w:t>
      </w:r>
      <w:r>
        <w:rPr>
          <w:rFonts w:hint="eastAsia" w:ascii="TimesNewRoman" w:hAnsi="TimesNewRoman" w:eastAsia="仿宋_GB2312" w:cs="TimesNewRoman"/>
          <w:kern w:val="0"/>
          <w:sz w:val="32"/>
          <w:szCs w:val="32"/>
        </w:rPr>
        <w:t>万元（其中，一般公共预算拨款安排</w:t>
      </w:r>
      <w:r>
        <w:rPr>
          <w:rFonts w:hint="eastAsia" w:ascii="TimesNewRoman" w:hAnsi="TimesNewRoman" w:eastAsia="仿宋_GB2312" w:cs="TimesNewRoman"/>
          <w:kern w:val="0"/>
          <w:sz w:val="32"/>
          <w:szCs w:val="32"/>
          <w:lang w:val="en-US" w:eastAsia="zh-CN"/>
        </w:rPr>
        <w:t>154.44</w:t>
      </w:r>
      <w:r>
        <w:rPr>
          <w:rFonts w:hint="eastAsia" w:ascii="TimesNewRoman" w:hAnsi="TimesNewRoman" w:eastAsia="仿宋_GB2312" w:cs="TimesNewRoman"/>
          <w:kern w:val="0"/>
          <w:sz w:val="32"/>
          <w:szCs w:val="32"/>
        </w:rPr>
        <w:t>万元，政府性基金预算拨款安排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1ADD8321">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十、关于2024年政府采购支出表的说明</w:t>
      </w:r>
    </w:p>
    <w:p w14:paraId="0F1CA55E">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2024年预算安排政府采购支出</w:t>
      </w:r>
      <w:r>
        <w:rPr>
          <w:rFonts w:hint="eastAsia" w:ascii="TimesNewRoman" w:hAnsi="TimesNewRoman" w:eastAsia="仿宋_GB2312" w:cs="TimesNewRoman"/>
          <w:kern w:val="0"/>
          <w:sz w:val="32"/>
          <w:szCs w:val="32"/>
          <w:lang w:val="en-US" w:eastAsia="zh-CN"/>
        </w:rPr>
        <w:t>2.7</w:t>
      </w:r>
      <w:r>
        <w:rPr>
          <w:rFonts w:hint="eastAsia" w:ascii="TimesNewRoman" w:hAnsi="TimesNewRoman" w:eastAsia="仿宋_GB2312" w:cs="TimesNewRoman"/>
          <w:kern w:val="0"/>
          <w:sz w:val="32"/>
          <w:szCs w:val="32"/>
        </w:rPr>
        <w:t>万元，比2023年预算减少</w:t>
      </w:r>
      <w:r>
        <w:rPr>
          <w:rFonts w:hint="eastAsia" w:ascii="TimesNewRoman" w:hAnsi="TimesNewRoman" w:eastAsia="仿宋_GB2312" w:cs="TimesNewRoman"/>
          <w:kern w:val="0"/>
          <w:sz w:val="32"/>
          <w:szCs w:val="32"/>
          <w:lang w:val="en-US" w:eastAsia="zh-CN"/>
        </w:rPr>
        <w:t>1.8</w:t>
      </w:r>
      <w:r>
        <w:rPr>
          <w:rFonts w:hint="eastAsia" w:ascii="TimesNewRoman" w:hAnsi="TimesNewRoman" w:eastAsia="仿宋_GB2312" w:cs="TimesNewRoman"/>
          <w:kern w:val="0"/>
          <w:sz w:val="32"/>
          <w:szCs w:val="32"/>
        </w:rPr>
        <w:t>万元，下降</w:t>
      </w:r>
      <w:r>
        <w:rPr>
          <w:rFonts w:hint="eastAsia" w:ascii="TimesNewRoman" w:hAnsi="TimesNewRoman" w:eastAsia="仿宋_GB2312" w:cs="TimesNewRoman"/>
          <w:kern w:val="0"/>
          <w:sz w:val="32"/>
          <w:szCs w:val="32"/>
          <w:lang w:val="en-US" w:eastAsia="zh-CN"/>
        </w:rPr>
        <w:t>40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本年度购买</w:t>
      </w:r>
      <w:r>
        <w:rPr>
          <w:rFonts w:hint="eastAsia" w:ascii="TimesNewRoman" w:hAnsi="TimesNewRoman" w:eastAsia="仿宋_GB2312" w:cs="TimesNewRoman"/>
          <w:kern w:val="0"/>
          <w:sz w:val="32"/>
          <w:szCs w:val="32"/>
          <w:lang w:val="en-US" w:eastAsia="zh-CN"/>
        </w:rPr>
        <w:t>2台</w:t>
      </w:r>
      <w:r>
        <w:rPr>
          <w:rFonts w:hint="eastAsia" w:ascii="TimesNewRoman" w:hAnsi="TimesNewRoman" w:eastAsia="仿宋_GB2312" w:cs="TimesNewRoman"/>
          <w:kern w:val="0"/>
          <w:sz w:val="32"/>
          <w:szCs w:val="32"/>
          <w:lang w:eastAsia="zh-CN"/>
        </w:rPr>
        <w:t>打印机及</w:t>
      </w:r>
      <w:r>
        <w:rPr>
          <w:rFonts w:hint="eastAsia" w:ascii="TimesNewRoman" w:hAnsi="TimesNewRoman" w:eastAsia="仿宋_GB2312" w:cs="TimesNewRoman"/>
          <w:kern w:val="0"/>
          <w:sz w:val="32"/>
          <w:szCs w:val="32"/>
          <w:lang w:val="en-US" w:eastAsia="zh-CN"/>
        </w:rPr>
        <w:t>4台</w:t>
      </w:r>
      <w:r>
        <w:rPr>
          <w:rFonts w:hint="eastAsia" w:ascii="TimesNewRoman" w:hAnsi="TimesNewRoman" w:eastAsia="仿宋_GB2312" w:cs="TimesNewRoman"/>
          <w:kern w:val="0"/>
          <w:sz w:val="32"/>
          <w:szCs w:val="32"/>
          <w:lang w:eastAsia="zh-CN"/>
        </w:rPr>
        <w:t>空调</w:t>
      </w:r>
      <w:r>
        <w:rPr>
          <w:rFonts w:hint="eastAsia" w:ascii="TimesNewRoman" w:hAnsi="TimesNewRoman" w:eastAsia="仿宋_GB2312" w:cs="TimesNewRoman"/>
          <w:kern w:val="0"/>
          <w:sz w:val="32"/>
          <w:szCs w:val="32"/>
        </w:rPr>
        <w:t>。其中，一般公共预算安排</w:t>
      </w:r>
      <w:r>
        <w:rPr>
          <w:rFonts w:hint="eastAsia" w:ascii="TimesNewRoman" w:hAnsi="TimesNewRoman" w:eastAsia="仿宋_GB2312" w:cs="TimesNewRoman"/>
          <w:kern w:val="0"/>
          <w:sz w:val="32"/>
          <w:szCs w:val="32"/>
          <w:lang w:val="en-US" w:eastAsia="zh-CN"/>
        </w:rPr>
        <w:t>2.7</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100</w:t>
      </w:r>
      <w:r>
        <w:rPr>
          <w:rFonts w:hint="eastAsia" w:ascii="TimesNewRoman" w:hAnsi="TimesNewRoman" w:eastAsia="仿宋_GB2312" w:cs="TimesNewRoman"/>
          <w:kern w:val="0"/>
          <w:sz w:val="32"/>
          <w:szCs w:val="32"/>
        </w:rPr>
        <w:t>%；政府性基金预算安排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%；财政专户管理资金安排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w:t>
      </w:r>
    </w:p>
    <w:p w14:paraId="65EAE11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十一、关于2024年政府购买服务支出表的说明</w:t>
      </w:r>
    </w:p>
    <w:p w14:paraId="7D807B2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2024年没有安排政府购买服务支出。</w:t>
      </w:r>
    </w:p>
    <w:p w14:paraId="792C8FA0">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338567FD">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6B9AE527">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1、“设备购置及校园改造维修等”项目。</w:t>
      </w:r>
    </w:p>
    <w:p w14:paraId="07B0BC07">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（1）项目概述。东校区运动场维修改建项目、西校区民俗园维修改造、东校区教学楼及院内居民楼后墙墙皮维修粉刷、两校区66间教室水泥讲台维修改造等</w:t>
      </w:r>
      <w:r>
        <w:rPr>
          <w:rFonts w:hint="eastAsia" w:ascii="TimesNewRoman" w:hAnsi="TimesNewRoman" w:eastAsia="仿宋_GB2312" w:cs="TimesNewRoman"/>
          <w:kern w:val="0"/>
          <w:sz w:val="32"/>
          <w:szCs w:val="32"/>
          <w:lang w:eastAsia="zh-CN"/>
        </w:rPr>
        <w:t>。</w:t>
      </w:r>
    </w:p>
    <w:p w14:paraId="1A516EDA">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高效保障教育教学工作开展。</w:t>
      </w:r>
    </w:p>
    <w:p w14:paraId="18E0C655">
      <w:pPr>
        <w:ind w:firstLine="640" w:firstLineChars="200"/>
        <w:rPr>
          <w:rFonts w:hint="eastAsia" w:ascii="TimesNewRoman" w:hAnsi="TimesNewRoman" w:eastAsia="仿宋_GB2312" w:cs="TimesNewRoman"/>
          <w:bCs/>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bCs/>
          <w:sz w:val="32"/>
          <w:szCs w:val="32"/>
        </w:rPr>
        <w:t>淮北市首府实验小学</w:t>
      </w:r>
    </w:p>
    <w:p w14:paraId="3A0076F2">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2024.1-2024.12。</w:t>
      </w:r>
    </w:p>
    <w:p w14:paraId="5E866226">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（5）项目内容。东校区运动场维修改建项目、西校区民俗园维修改造、东校区教学楼及院内居民楼后墙墙皮维修粉刷、两校区66间教室水泥讲台维修改造等</w:t>
      </w:r>
      <w:r>
        <w:rPr>
          <w:rFonts w:hint="eastAsia" w:ascii="TimesNewRoman" w:hAnsi="TimesNewRoman" w:eastAsia="仿宋_GB2312" w:cs="TimesNewRoman"/>
          <w:kern w:val="0"/>
          <w:sz w:val="32"/>
          <w:szCs w:val="32"/>
          <w:lang w:eastAsia="zh-CN"/>
        </w:rPr>
        <w:t>。</w:t>
      </w:r>
    </w:p>
    <w:p w14:paraId="5B3B36EF">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50万元</w:t>
      </w:r>
    </w:p>
    <w:p w14:paraId="7B5F4DC3">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042D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D788ED6">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D17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AC0B386">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（2024年度）                                </w:t>
            </w:r>
          </w:p>
        </w:tc>
      </w:tr>
      <w:tr w14:paraId="66DD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B7B6A91">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6F868DA">
            <w:pPr>
              <w:jc w:val="center"/>
              <w:rPr>
                <w:rFonts w:ascii="宋体" w:cs="宋体"/>
                <w:sz w:val="20"/>
              </w:rPr>
            </w:pPr>
            <w:r>
              <w:rPr>
                <w:rFonts w:hint="eastAsia"/>
                <w:color w:val="000000"/>
                <w:sz w:val="20"/>
                <w:szCs w:val="20"/>
              </w:rPr>
              <w:t>设备购置及校园改造维修等</w:t>
            </w:r>
          </w:p>
        </w:tc>
      </w:tr>
      <w:tr w14:paraId="7B5E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41D1B51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3C791BC">
            <w:pPr>
              <w:jc w:val="center"/>
              <w:rPr>
                <w:rFonts w:hint="eastAsia" w:ascii="宋体" w:cs="宋体" w:hAnsiTheme="minorHAnsi" w:eastAsiaTheme="minorEastAsia"/>
                <w:kern w:val="2"/>
                <w:sz w:val="20"/>
                <w:szCs w:val="22"/>
                <w:lang w:val="en-US" w:eastAsia="zh-CN" w:bidi="ar-SA"/>
              </w:rPr>
            </w:pPr>
            <w:r>
              <w:rPr>
                <w:rFonts w:hint="eastAsia" w:ascii="宋体" w:cs="宋体"/>
                <w:sz w:val="20"/>
                <w:lang w:val="en-US" w:eastAsia="zh-CN"/>
              </w:rPr>
              <w:t>065-</w:t>
            </w:r>
            <w:r>
              <w:rPr>
                <w:rFonts w:hint="eastAsia" w:ascii="宋体" w:cs="宋体"/>
                <w:sz w:val="20"/>
                <w:lang w:eastAsia="zh-CN"/>
              </w:rPr>
              <w:t>淮北市教育局</w:t>
            </w:r>
          </w:p>
        </w:tc>
        <w:tc>
          <w:tcPr>
            <w:tcW w:w="1848" w:type="dxa"/>
            <w:tcBorders>
              <w:tl2br w:val="nil"/>
              <w:tr2bl w:val="nil"/>
            </w:tcBorders>
            <w:vAlign w:val="center"/>
          </w:tcPr>
          <w:p w14:paraId="1E1E1ADC">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1DBA21CE">
            <w:pPr>
              <w:jc w:val="center"/>
              <w:rPr>
                <w:rFonts w:asciiTheme="minorHAnsi" w:hAnsiTheme="minorHAnsi" w:eastAsiaTheme="minorEastAsia" w:cstheme="minorBidi"/>
                <w:kern w:val="2"/>
                <w:sz w:val="21"/>
                <w:szCs w:val="22"/>
                <w:lang w:val="en-US" w:eastAsia="zh-CN" w:bidi="ar-SA"/>
              </w:rPr>
            </w:pPr>
            <w:r>
              <w:rPr>
                <w:rFonts w:hint="eastAsia"/>
                <w:color w:val="000000"/>
                <w:sz w:val="20"/>
                <w:szCs w:val="20"/>
              </w:rPr>
              <w:t>淮北市首府实验小学</w:t>
            </w:r>
          </w:p>
        </w:tc>
      </w:tr>
      <w:tr w14:paraId="2737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7C182A3">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75BB17FF">
            <w:pPr>
              <w:jc w:val="center"/>
              <w:rPr>
                <w:rFonts w:hint="eastAsia" w:ascii="宋体" w:cs="宋体" w:hAnsiTheme="minorHAnsi" w:eastAsiaTheme="minorEastAsia"/>
                <w:kern w:val="2"/>
                <w:sz w:val="20"/>
                <w:szCs w:val="22"/>
                <w:lang w:val="en-US" w:eastAsia="zh-CN" w:bidi="ar-SA"/>
              </w:rPr>
            </w:pPr>
            <w:r>
              <w:rPr>
                <w:rFonts w:hint="eastAsia" w:ascii="宋体" w:cs="宋体"/>
                <w:sz w:val="20"/>
              </w:rPr>
              <w:t>1-本级申报项目</w:t>
            </w:r>
          </w:p>
        </w:tc>
        <w:tc>
          <w:tcPr>
            <w:tcW w:w="1848" w:type="dxa"/>
            <w:tcBorders>
              <w:tl2br w:val="nil"/>
              <w:tr2bl w:val="nil"/>
            </w:tcBorders>
            <w:vAlign w:val="center"/>
          </w:tcPr>
          <w:p w14:paraId="047DF157">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6008C3DD">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2024.1-2024.12</w:t>
            </w:r>
          </w:p>
        </w:tc>
      </w:tr>
      <w:tr w14:paraId="094F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48AC1CC">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02A5DB3A">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648A4808">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FC4A7C9">
            <w:pPr>
              <w:jc w:val="right"/>
              <w:rPr>
                <w:rFonts w:hint="default" w:ascii="宋体" w:cs="宋体" w:eastAsiaTheme="minorEastAsia"/>
                <w:sz w:val="20"/>
                <w:lang w:val="en-US" w:eastAsia="zh-CN"/>
              </w:rPr>
            </w:pPr>
            <w:r>
              <w:rPr>
                <w:rFonts w:hint="eastAsia" w:ascii="宋体" w:cs="宋体"/>
                <w:sz w:val="20"/>
                <w:lang w:val="en-US" w:eastAsia="zh-CN"/>
              </w:rPr>
              <w:t>50</w:t>
            </w:r>
          </w:p>
        </w:tc>
      </w:tr>
      <w:tr w14:paraId="2D04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ABC2F0C">
            <w:pPr>
              <w:jc w:val="center"/>
              <w:rPr>
                <w:rFonts w:ascii="宋体" w:cs="宋体"/>
                <w:sz w:val="20"/>
              </w:rPr>
            </w:pPr>
          </w:p>
        </w:tc>
        <w:tc>
          <w:tcPr>
            <w:tcW w:w="3349" w:type="dxa"/>
            <w:gridSpan w:val="2"/>
            <w:tcBorders>
              <w:tl2br w:val="nil"/>
              <w:tr2bl w:val="nil"/>
            </w:tcBorders>
            <w:vAlign w:val="center"/>
          </w:tcPr>
          <w:p w14:paraId="0FEF8E59">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DC668C8">
            <w:pPr>
              <w:jc w:val="right"/>
              <w:rPr>
                <w:rFonts w:hint="default" w:ascii="宋体" w:cs="宋体" w:eastAsiaTheme="minorEastAsia"/>
                <w:sz w:val="20"/>
                <w:lang w:val="en-US" w:eastAsia="zh-CN"/>
              </w:rPr>
            </w:pPr>
            <w:r>
              <w:rPr>
                <w:rFonts w:hint="eastAsia" w:ascii="宋体" w:cs="宋体"/>
                <w:sz w:val="20"/>
                <w:lang w:val="en-US" w:eastAsia="zh-CN"/>
              </w:rPr>
              <w:t>50</w:t>
            </w:r>
          </w:p>
        </w:tc>
      </w:tr>
      <w:tr w14:paraId="768D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67F0D34">
            <w:pPr>
              <w:jc w:val="center"/>
              <w:rPr>
                <w:rFonts w:ascii="宋体" w:cs="宋体"/>
                <w:sz w:val="20"/>
              </w:rPr>
            </w:pPr>
          </w:p>
        </w:tc>
        <w:tc>
          <w:tcPr>
            <w:tcW w:w="3349" w:type="dxa"/>
            <w:gridSpan w:val="2"/>
            <w:tcBorders>
              <w:tl2br w:val="nil"/>
              <w:tr2bl w:val="nil"/>
            </w:tcBorders>
            <w:vAlign w:val="center"/>
          </w:tcPr>
          <w:p w14:paraId="7302060D">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619E300F">
            <w:pPr>
              <w:jc w:val="center"/>
              <w:rPr>
                <w:rFonts w:ascii="宋体" w:cs="宋体"/>
                <w:sz w:val="20"/>
              </w:rPr>
            </w:pPr>
          </w:p>
        </w:tc>
      </w:tr>
      <w:tr w14:paraId="37B3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259EBDC">
            <w:pPr>
              <w:jc w:val="center"/>
              <w:rPr>
                <w:rFonts w:ascii="宋体" w:cs="宋体"/>
                <w:sz w:val="20"/>
              </w:rPr>
            </w:pPr>
          </w:p>
        </w:tc>
        <w:tc>
          <w:tcPr>
            <w:tcW w:w="3349" w:type="dxa"/>
            <w:gridSpan w:val="2"/>
            <w:tcBorders>
              <w:tl2br w:val="nil"/>
              <w:tr2bl w:val="nil"/>
            </w:tcBorders>
            <w:vAlign w:val="center"/>
          </w:tcPr>
          <w:p w14:paraId="3EA0204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06E5CBF">
            <w:pPr>
              <w:jc w:val="right"/>
              <w:rPr>
                <w:rFonts w:ascii="宋体" w:cs="宋体"/>
                <w:sz w:val="20"/>
              </w:rPr>
            </w:pPr>
          </w:p>
        </w:tc>
      </w:tr>
      <w:tr w14:paraId="3C3A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2DABA3B8">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399BD97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0C263E62">
            <w:pPr>
              <w:jc w:val="left"/>
              <w:rPr>
                <w:rFonts w:ascii="宋体" w:cs="宋体"/>
                <w:sz w:val="20"/>
              </w:rPr>
            </w:pPr>
            <w:r>
              <w:rPr>
                <w:rFonts w:hint="eastAsia" w:ascii="宋体" w:hAnsi="宋体" w:eastAsia="宋体" w:cs="宋体"/>
                <w:color w:val="000000"/>
                <w:kern w:val="0"/>
                <w:sz w:val="20"/>
                <w:szCs w:val="20"/>
                <w:lang w:eastAsia="zh-CN"/>
              </w:rPr>
              <w:t>高效保障教育教学工作开展。</w:t>
            </w:r>
          </w:p>
        </w:tc>
      </w:tr>
      <w:tr w14:paraId="1DF9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906E109">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2F37F7AD">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365D7796">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5291AEAC">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0D3CEF8F">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73A92BE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5CAC542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314C0300">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A9DF33E">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103D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6B0908A">
            <w:pPr>
              <w:jc w:val="center"/>
              <w:rPr>
                <w:rFonts w:ascii="宋体" w:cs="宋体"/>
                <w:sz w:val="20"/>
              </w:rPr>
            </w:pPr>
          </w:p>
        </w:tc>
        <w:tc>
          <w:tcPr>
            <w:tcW w:w="723" w:type="dxa"/>
            <w:vMerge w:val="restart"/>
            <w:tcBorders>
              <w:tl2br w:val="nil"/>
              <w:tr2bl w:val="nil"/>
            </w:tcBorders>
            <w:vAlign w:val="center"/>
          </w:tcPr>
          <w:p w14:paraId="33475BDC">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74BD9C0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322E40CB">
            <w:pPr>
              <w:widowControl/>
              <w:jc w:val="left"/>
              <w:textAlignment w:val="center"/>
              <w:rPr>
                <w:rFonts w:ascii="宋体" w:cs="宋体"/>
                <w:sz w:val="20"/>
              </w:rPr>
            </w:pPr>
            <w:r>
              <w:rPr>
                <w:rFonts w:hint="eastAsia" w:ascii="宋体" w:hAnsi="宋体" w:eastAsia="宋体" w:cs="宋体"/>
                <w:color w:val="000000"/>
                <w:kern w:val="0"/>
                <w:sz w:val="20"/>
                <w:szCs w:val="20"/>
              </w:rPr>
              <w:t>指标1：维修维护费</w:t>
            </w:r>
          </w:p>
        </w:tc>
        <w:tc>
          <w:tcPr>
            <w:tcW w:w="4228" w:type="dxa"/>
            <w:gridSpan w:val="2"/>
            <w:tcBorders>
              <w:tl2br w:val="nil"/>
              <w:tr2bl w:val="nil"/>
            </w:tcBorders>
            <w:vAlign w:val="center"/>
          </w:tcPr>
          <w:p w14:paraId="1830C66B">
            <w:pPr>
              <w:jc w:val="center"/>
              <w:rPr>
                <w:rFonts w:ascii="宋体" w:cs="宋体"/>
                <w:sz w:val="20"/>
              </w:rPr>
            </w:pPr>
            <w:r>
              <w:rPr>
                <w:rFonts w:hint="eastAsia" w:ascii="宋体" w:cs="宋体"/>
                <w:sz w:val="20"/>
                <w:lang w:val="en-US" w:eastAsia="zh-CN"/>
              </w:rPr>
              <w:t>50万元</w:t>
            </w:r>
          </w:p>
        </w:tc>
      </w:tr>
      <w:tr w14:paraId="24F1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C1FC6AB">
            <w:pPr>
              <w:jc w:val="center"/>
              <w:rPr>
                <w:rFonts w:ascii="宋体" w:cs="宋体"/>
                <w:sz w:val="20"/>
              </w:rPr>
            </w:pPr>
          </w:p>
        </w:tc>
        <w:tc>
          <w:tcPr>
            <w:tcW w:w="723" w:type="dxa"/>
            <w:vMerge w:val="continue"/>
            <w:tcBorders>
              <w:tl2br w:val="nil"/>
              <w:tr2bl w:val="nil"/>
            </w:tcBorders>
            <w:vAlign w:val="center"/>
          </w:tcPr>
          <w:p w14:paraId="3D8FBF70">
            <w:pPr>
              <w:jc w:val="center"/>
              <w:rPr>
                <w:rFonts w:ascii="宋体" w:cs="宋体"/>
                <w:sz w:val="20"/>
              </w:rPr>
            </w:pPr>
          </w:p>
        </w:tc>
        <w:tc>
          <w:tcPr>
            <w:tcW w:w="759" w:type="dxa"/>
            <w:gridSpan w:val="2"/>
            <w:tcBorders>
              <w:tl2br w:val="nil"/>
              <w:tr2bl w:val="nil"/>
            </w:tcBorders>
            <w:vAlign w:val="center"/>
          </w:tcPr>
          <w:p w14:paraId="04A87C5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55FE7FA8">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sz w:val="20"/>
                <w:szCs w:val="20"/>
              </w:rPr>
              <w:t>经费支出合规性</w:t>
            </w:r>
          </w:p>
        </w:tc>
        <w:tc>
          <w:tcPr>
            <w:tcW w:w="4228" w:type="dxa"/>
            <w:gridSpan w:val="2"/>
            <w:tcBorders>
              <w:tl2br w:val="nil"/>
              <w:tr2bl w:val="nil"/>
            </w:tcBorders>
            <w:vAlign w:val="center"/>
          </w:tcPr>
          <w:p w14:paraId="7ED2FFEA">
            <w:pPr>
              <w:jc w:val="center"/>
              <w:rPr>
                <w:rFonts w:ascii="宋体" w:cs="宋体"/>
                <w:sz w:val="20"/>
              </w:rPr>
            </w:pPr>
            <w:r>
              <w:rPr>
                <w:sz w:val="20"/>
                <w:szCs w:val="20"/>
              </w:rPr>
              <w:t>严格执行相关财经法规制度</w:t>
            </w:r>
          </w:p>
        </w:tc>
      </w:tr>
      <w:tr w14:paraId="500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7A2E4BA">
            <w:pPr>
              <w:jc w:val="center"/>
              <w:rPr>
                <w:rFonts w:ascii="宋体" w:cs="宋体"/>
                <w:sz w:val="20"/>
              </w:rPr>
            </w:pPr>
          </w:p>
        </w:tc>
        <w:tc>
          <w:tcPr>
            <w:tcW w:w="723" w:type="dxa"/>
            <w:vMerge w:val="continue"/>
            <w:tcBorders>
              <w:tl2br w:val="nil"/>
              <w:tr2bl w:val="nil"/>
            </w:tcBorders>
            <w:vAlign w:val="center"/>
          </w:tcPr>
          <w:p w14:paraId="1B798776">
            <w:pPr>
              <w:jc w:val="center"/>
              <w:rPr>
                <w:rFonts w:ascii="宋体" w:cs="宋体"/>
                <w:sz w:val="20"/>
              </w:rPr>
            </w:pPr>
          </w:p>
        </w:tc>
        <w:tc>
          <w:tcPr>
            <w:tcW w:w="759" w:type="dxa"/>
            <w:gridSpan w:val="2"/>
            <w:tcBorders>
              <w:tl2br w:val="nil"/>
              <w:tr2bl w:val="nil"/>
            </w:tcBorders>
            <w:vAlign w:val="center"/>
          </w:tcPr>
          <w:p w14:paraId="11F6F6F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2077F787">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sz w:val="20"/>
                <w:szCs w:val="20"/>
              </w:rPr>
              <w:t>项目完成及时性</w:t>
            </w:r>
          </w:p>
        </w:tc>
        <w:tc>
          <w:tcPr>
            <w:tcW w:w="4228" w:type="dxa"/>
            <w:gridSpan w:val="2"/>
            <w:tcBorders>
              <w:tl2br w:val="nil"/>
              <w:tr2bl w:val="nil"/>
            </w:tcBorders>
            <w:vAlign w:val="center"/>
          </w:tcPr>
          <w:p w14:paraId="369D5067">
            <w:pPr>
              <w:jc w:val="center"/>
              <w:rPr>
                <w:rFonts w:ascii="宋体" w:cs="宋体"/>
                <w:sz w:val="20"/>
              </w:rPr>
            </w:pPr>
            <w:r>
              <w:rPr>
                <w:sz w:val="20"/>
                <w:szCs w:val="20"/>
              </w:rPr>
              <w:t>按计划实施该项目</w:t>
            </w:r>
          </w:p>
        </w:tc>
      </w:tr>
      <w:tr w14:paraId="322E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E2B843A">
            <w:pPr>
              <w:jc w:val="center"/>
              <w:rPr>
                <w:rFonts w:ascii="宋体" w:cs="宋体"/>
                <w:sz w:val="20"/>
              </w:rPr>
            </w:pPr>
          </w:p>
        </w:tc>
        <w:tc>
          <w:tcPr>
            <w:tcW w:w="723" w:type="dxa"/>
            <w:vMerge w:val="continue"/>
            <w:tcBorders>
              <w:tl2br w:val="nil"/>
              <w:tr2bl w:val="nil"/>
            </w:tcBorders>
            <w:vAlign w:val="center"/>
          </w:tcPr>
          <w:p w14:paraId="7EF45B3B">
            <w:pPr>
              <w:jc w:val="center"/>
              <w:rPr>
                <w:rFonts w:ascii="宋体" w:cs="宋体"/>
                <w:sz w:val="20"/>
              </w:rPr>
            </w:pPr>
          </w:p>
        </w:tc>
        <w:tc>
          <w:tcPr>
            <w:tcW w:w="759" w:type="dxa"/>
            <w:gridSpan w:val="2"/>
            <w:tcBorders>
              <w:tl2br w:val="nil"/>
              <w:tr2bl w:val="nil"/>
            </w:tcBorders>
            <w:vAlign w:val="center"/>
          </w:tcPr>
          <w:p w14:paraId="1D364E9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22455841">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sz w:val="20"/>
                <w:szCs w:val="20"/>
              </w:rPr>
              <w:t>项目总成本</w:t>
            </w:r>
          </w:p>
        </w:tc>
        <w:tc>
          <w:tcPr>
            <w:tcW w:w="4228" w:type="dxa"/>
            <w:gridSpan w:val="2"/>
            <w:tcBorders>
              <w:tl2br w:val="nil"/>
              <w:tr2bl w:val="nil"/>
            </w:tcBorders>
            <w:vAlign w:val="center"/>
          </w:tcPr>
          <w:p w14:paraId="56F5B285">
            <w:pPr>
              <w:jc w:val="center"/>
              <w:rPr>
                <w:rFonts w:ascii="宋体" w:cs="宋体"/>
                <w:sz w:val="20"/>
              </w:rPr>
            </w:pPr>
            <w:r>
              <w:rPr>
                <w:rFonts w:hint="eastAsia" w:ascii="宋体" w:cs="宋体"/>
                <w:sz w:val="20"/>
                <w:lang w:val="en-US" w:eastAsia="zh-CN"/>
              </w:rPr>
              <w:t>≤50万元</w:t>
            </w:r>
          </w:p>
        </w:tc>
      </w:tr>
      <w:tr w14:paraId="0BF4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374EFB9">
            <w:pPr>
              <w:jc w:val="center"/>
              <w:rPr>
                <w:rFonts w:ascii="宋体" w:cs="宋体"/>
                <w:sz w:val="20"/>
              </w:rPr>
            </w:pPr>
          </w:p>
        </w:tc>
        <w:tc>
          <w:tcPr>
            <w:tcW w:w="723" w:type="dxa"/>
            <w:vMerge w:val="restart"/>
            <w:tcBorders>
              <w:tl2br w:val="nil"/>
              <w:tr2bl w:val="nil"/>
            </w:tcBorders>
            <w:vAlign w:val="center"/>
          </w:tcPr>
          <w:p w14:paraId="07B5577C">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357DAA2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3C3D90F">
            <w:pPr>
              <w:widowControl/>
              <w:jc w:val="left"/>
              <w:textAlignment w:val="center"/>
              <w:rPr>
                <w:rFonts w:ascii="宋体" w:cs="宋体"/>
                <w:sz w:val="20"/>
              </w:rPr>
            </w:pPr>
            <w:r>
              <w:rPr>
                <w:rFonts w:hint="eastAsia"/>
                <w:sz w:val="20"/>
                <w:szCs w:val="20"/>
              </w:rPr>
              <w:t>指标1：</w:t>
            </w:r>
            <w:r>
              <w:rPr>
                <w:sz w:val="20"/>
                <w:szCs w:val="20"/>
              </w:rPr>
              <w:t>开源节流</w:t>
            </w:r>
          </w:p>
        </w:tc>
        <w:tc>
          <w:tcPr>
            <w:tcW w:w="4228" w:type="dxa"/>
            <w:gridSpan w:val="2"/>
            <w:tcBorders>
              <w:tl2br w:val="nil"/>
              <w:tr2bl w:val="nil"/>
            </w:tcBorders>
            <w:vAlign w:val="center"/>
          </w:tcPr>
          <w:p w14:paraId="059303BF">
            <w:pPr>
              <w:widowControl/>
              <w:jc w:val="center"/>
              <w:textAlignment w:val="center"/>
              <w:rPr>
                <w:rFonts w:ascii="宋体" w:cs="宋体"/>
                <w:sz w:val="20"/>
              </w:rPr>
            </w:pPr>
            <w:r>
              <w:rPr>
                <w:sz w:val="20"/>
                <w:szCs w:val="20"/>
              </w:rPr>
              <w:t>用最少的资金完成更多的任务</w:t>
            </w:r>
          </w:p>
        </w:tc>
      </w:tr>
      <w:tr w14:paraId="23B5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B5F290">
            <w:pPr>
              <w:jc w:val="center"/>
              <w:rPr>
                <w:rFonts w:ascii="宋体" w:cs="宋体"/>
                <w:sz w:val="20"/>
              </w:rPr>
            </w:pPr>
          </w:p>
        </w:tc>
        <w:tc>
          <w:tcPr>
            <w:tcW w:w="723" w:type="dxa"/>
            <w:vMerge w:val="continue"/>
            <w:tcBorders>
              <w:tl2br w:val="nil"/>
              <w:tr2bl w:val="nil"/>
            </w:tcBorders>
            <w:vAlign w:val="center"/>
          </w:tcPr>
          <w:p w14:paraId="7AF38A27">
            <w:pPr>
              <w:jc w:val="center"/>
              <w:rPr>
                <w:rFonts w:ascii="宋体" w:cs="宋体"/>
                <w:sz w:val="20"/>
              </w:rPr>
            </w:pPr>
          </w:p>
        </w:tc>
        <w:tc>
          <w:tcPr>
            <w:tcW w:w="759" w:type="dxa"/>
            <w:gridSpan w:val="2"/>
            <w:tcBorders>
              <w:tl2br w:val="nil"/>
              <w:tr2bl w:val="nil"/>
            </w:tcBorders>
            <w:vAlign w:val="center"/>
          </w:tcPr>
          <w:p w14:paraId="545D26C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7BFC993E">
            <w:pPr>
              <w:widowControl/>
              <w:jc w:val="left"/>
              <w:textAlignment w:val="center"/>
              <w:rPr>
                <w:rFonts w:ascii="宋体" w:cs="宋体"/>
                <w:sz w:val="20"/>
              </w:rPr>
            </w:pPr>
            <w:r>
              <w:rPr>
                <w:rFonts w:hint="eastAsia"/>
                <w:sz w:val="20"/>
                <w:szCs w:val="20"/>
              </w:rPr>
              <w:t>指标1：</w:t>
            </w:r>
            <w:r>
              <w:rPr>
                <w:sz w:val="20"/>
                <w:szCs w:val="20"/>
              </w:rPr>
              <w:t>义务教育薄弱环节改善和能力提升</w:t>
            </w:r>
          </w:p>
        </w:tc>
        <w:tc>
          <w:tcPr>
            <w:tcW w:w="4228" w:type="dxa"/>
            <w:gridSpan w:val="2"/>
            <w:tcBorders>
              <w:tl2br w:val="nil"/>
              <w:tr2bl w:val="nil"/>
            </w:tcBorders>
            <w:vAlign w:val="center"/>
          </w:tcPr>
          <w:p w14:paraId="300F8F19">
            <w:pPr>
              <w:widowControl/>
              <w:jc w:val="center"/>
              <w:textAlignment w:val="center"/>
              <w:rPr>
                <w:rFonts w:ascii="宋体" w:cs="宋体"/>
                <w:sz w:val="20"/>
              </w:rPr>
            </w:pPr>
            <w:r>
              <w:rPr>
                <w:sz w:val="20"/>
                <w:szCs w:val="20"/>
              </w:rPr>
              <w:t>加强教师队伍建设和学生素质的提高</w:t>
            </w:r>
          </w:p>
        </w:tc>
      </w:tr>
      <w:tr w14:paraId="589A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E6ECB1E">
            <w:pPr>
              <w:jc w:val="center"/>
              <w:rPr>
                <w:rFonts w:ascii="宋体" w:cs="宋体"/>
                <w:sz w:val="20"/>
              </w:rPr>
            </w:pPr>
          </w:p>
        </w:tc>
        <w:tc>
          <w:tcPr>
            <w:tcW w:w="723" w:type="dxa"/>
            <w:vMerge w:val="continue"/>
            <w:tcBorders>
              <w:tl2br w:val="nil"/>
              <w:tr2bl w:val="nil"/>
            </w:tcBorders>
            <w:vAlign w:val="center"/>
          </w:tcPr>
          <w:p w14:paraId="292967B5">
            <w:pPr>
              <w:jc w:val="center"/>
              <w:rPr>
                <w:rFonts w:ascii="宋体" w:cs="宋体"/>
                <w:sz w:val="20"/>
              </w:rPr>
            </w:pPr>
          </w:p>
        </w:tc>
        <w:tc>
          <w:tcPr>
            <w:tcW w:w="759" w:type="dxa"/>
            <w:gridSpan w:val="2"/>
            <w:tcBorders>
              <w:tl2br w:val="nil"/>
              <w:tr2bl w:val="nil"/>
            </w:tcBorders>
            <w:vAlign w:val="center"/>
          </w:tcPr>
          <w:p w14:paraId="2CF838A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4FA7972">
            <w:pPr>
              <w:widowControl/>
              <w:jc w:val="left"/>
              <w:textAlignment w:val="center"/>
              <w:rPr>
                <w:rFonts w:ascii="宋体" w:cs="宋体"/>
                <w:sz w:val="20"/>
              </w:rPr>
            </w:pPr>
            <w:r>
              <w:rPr>
                <w:rFonts w:hint="eastAsia" w:ascii="宋体" w:hAnsi="宋体" w:eastAsia="宋体" w:cs="宋体"/>
                <w:color w:val="000000"/>
                <w:kern w:val="0"/>
                <w:sz w:val="20"/>
                <w:szCs w:val="20"/>
              </w:rPr>
              <w:t>指标1：消除安全隐患、美化校园环节</w:t>
            </w:r>
          </w:p>
        </w:tc>
        <w:tc>
          <w:tcPr>
            <w:tcW w:w="4228" w:type="dxa"/>
            <w:gridSpan w:val="2"/>
            <w:tcBorders>
              <w:tl2br w:val="nil"/>
              <w:tr2bl w:val="nil"/>
            </w:tcBorders>
            <w:vAlign w:val="center"/>
          </w:tcPr>
          <w:p w14:paraId="256AB49E">
            <w:pPr>
              <w:widowControl/>
              <w:jc w:val="center"/>
              <w:textAlignment w:val="center"/>
              <w:rPr>
                <w:rFonts w:ascii="宋体" w:cs="宋体"/>
                <w:sz w:val="20"/>
              </w:rPr>
            </w:pPr>
            <w:r>
              <w:rPr>
                <w:rFonts w:hint="eastAsia" w:ascii="宋体" w:hAnsi="宋体" w:eastAsia="宋体" w:cs="宋体"/>
                <w:color w:val="000000"/>
                <w:kern w:val="0"/>
                <w:sz w:val="20"/>
                <w:szCs w:val="20"/>
              </w:rPr>
              <w:t>努力打造安全、美化的校园环境</w:t>
            </w:r>
          </w:p>
        </w:tc>
      </w:tr>
      <w:tr w14:paraId="0F2F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235C511">
            <w:pPr>
              <w:jc w:val="center"/>
              <w:rPr>
                <w:rFonts w:ascii="宋体" w:cs="宋体"/>
                <w:sz w:val="20"/>
              </w:rPr>
            </w:pPr>
          </w:p>
        </w:tc>
        <w:tc>
          <w:tcPr>
            <w:tcW w:w="723" w:type="dxa"/>
            <w:vMerge w:val="continue"/>
            <w:tcBorders>
              <w:tl2br w:val="nil"/>
              <w:tr2bl w:val="nil"/>
            </w:tcBorders>
            <w:vAlign w:val="center"/>
          </w:tcPr>
          <w:p w14:paraId="37DF0FF8">
            <w:pPr>
              <w:jc w:val="center"/>
              <w:rPr>
                <w:rFonts w:ascii="宋体" w:cs="宋体"/>
                <w:sz w:val="20"/>
              </w:rPr>
            </w:pPr>
          </w:p>
        </w:tc>
        <w:tc>
          <w:tcPr>
            <w:tcW w:w="759" w:type="dxa"/>
            <w:gridSpan w:val="2"/>
            <w:tcBorders>
              <w:tl2br w:val="nil"/>
              <w:tr2bl w:val="nil"/>
            </w:tcBorders>
            <w:vAlign w:val="center"/>
          </w:tcPr>
          <w:p w14:paraId="154CB2CF">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0FC17F5B">
            <w:pPr>
              <w:widowControl/>
              <w:jc w:val="center"/>
              <w:textAlignment w:val="center"/>
              <w:rPr>
                <w:rFonts w:ascii="宋体" w:hAnsi="宋体" w:eastAsia="宋体" w:cs="宋体"/>
                <w:sz w:val="20"/>
              </w:rPr>
            </w:pPr>
            <w:r>
              <w:rPr>
                <w:rFonts w:hint="eastAsia" w:ascii="宋体" w:hAnsi="宋体" w:eastAsia="宋体" w:cs="宋体"/>
                <w:color w:val="000000"/>
                <w:kern w:val="0"/>
                <w:sz w:val="20"/>
                <w:szCs w:val="20"/>
              </w:rPr>
              <w:t>指标1：保障教育教学工作开展</w:t>
            </w:r>
          </w:p>
        </w:tc>
        <w:tc>
          <w:tcPr>
            <w:tcW w:w="4228" w:type="dxa"/>
            <w:gridSpan w:val="2"/>
            <w:tcBorders>
              <w:tl2br w:val="nil"/>
              <w:tr2bl w:val="nil"/>
            </w:tcBorders>
            <w:vAlign w:val="center"/>
          </w:tcPr>
          <w:p w14:paraId="29C8CAA5">
            <w:pPr>
              <w:widowControl/>
              <w:jc w:val="center"/>
              <w:textAlignment w:val="center"/>
              <w:rPr>
                <w:rFonts w:ascii="宋体" w:cs="宋体"/>
                <w:sz w:val="20"/>
              </w:rPr>
            </w:pPr>
            <w:r>
              <w:rPr>
                <w:rFonts w:hint="eastAsia" w:ascii="宋体" w:hAnsi="宋体" w:eastAsia="宋体" w:cs="宋体"/>
                <w:color w:val="000000"/>
                <w:kern w:val="0"/>
                <w:sz w:val="20"/>
                <w:szCs w:val="20"/>
              </w:rPr>
              <w:t>有效保障教育教学工作开展</w:t>
            </w:r>
          </w:p>
        </w:tc>
      </w:tr>
      <w:tr w14:paraId="41D2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52EDB5D">
            <w:pPr>
              <w:jc w:val="center"/>
              <w:rPr>
                <w:rFonts w:ascii="宋体" w:cs="宋体"/>
                <w:sz w:val="20"/>
              </w:rPr>
            </w:pPr>
          </w:p>
        </w:tc>
        <w:tc>
          <w:tcPr>
            <w:tcW w:w="723" w:type="dxa"/>
            <w:tcBorders>
              <w:tl2br w:val="nil"/>
              <w:tr2bl w:val="nil"/>
            </w:tcBorders>
            <w:vAlign w:val="center"/>
          </w:tcPr>
          <w:p w14:paraId="0FF78CB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443A0484">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7EFD88A3">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服务对象满意度</w:t>
            </w:r>
          </w:p>
        </w:tc>
        <w:tc>
          <w:tcPr>
            <w:tcW w:w="4228" w:type="dxa"/>
            <w:gridSpan w:val="2"/>
            <w:tcBorders>
              <w:tl2br w:val="nil"/>
              <w:tr2bl w:val="nil"/>
            </w:tcBorders>
            <w:vAlign w:val="center"/>
          </w:tcPr>
          <w:p w14:paraId="1FAA889C">
            <w:pPr>
              <w:jc w:val="center"/>
              <w:rPr>
                <w:rFonts w:ascii="宋体" w:cs="宋体"/>
                <w:sz w:val="20"/>
              </w:rPr>
            </w:pPr>
            <w:r>
              <w:rPr>
                <w:rFonts w:hint="eastAsia"/>
                <w:sz w:val="20"/>
                <w:szCs w:val="20"/>
              </w:rPr>
              <w:t>≥95%</w:t>
            </w:r>
          </w:p>
        </w:tc>
      </w:tr>
    </w:tbl>
    <w:p w14:paraId="5EE2FA6C">
      <w:pPr>
        <w:ind w:firstLine="420" w:firstLineChars="200"/>
      </w:pPr>
    </w:p>
    <w:p w14:paraId="4FFD6B5B">
      <w:pPr>
        <w:ind w:firstLine="420" w:firstLineChars="200"/>
      </w:pPr>
    </w:p>
    <w:p w14:paraId="0EDAC34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2、“2024_家庭经济困难学生生活补助_小学”项目。</w:t>
      </w:r>
    </w:p>
    <w:p w14:paraId="46D86D82">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（1）项目概述。家庭经济困难学生生活补助，按照2023年度春季学期41人，填列为</w:t>
      </w:r>
      <w:r>
        <w:rPr>
          <w:rFonts w:hint="eastAsia" w:ascii="TimesNewRoman" w:hAnsi="TimesNewRoman" w:eastAsia="仿宋_GB2312" w:cs="TimesNewRoman"/>
          <w:kern w:val="0"/>
          <w:sz w:val="32"/>
          <w:szCs w:val="32"/>
          <w:lang w:val="en-US" w:eastAsia="zh-CN"/>
        </w:rPr>
        <w:t>2.05</w:t>
      </w:r>
      <w:r>
        <w:rPr>
          <w:rFonts w:hint="eastAsia"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lang w:eastAsia="zh-CN"/>
        </w:rPr>
        <w:t>。</w:t>
      </w:r>
    </w:p>
    <w:p w14:paraId="08658F5E">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为解决</w:t>
      </w:r>
      <w:r>
        <w:rPr>
          <w:rFonts w:hint="eastAsia" w:ascii="TimesNewRoman" w:hAnsi="TimesNewRoman" w:eastAsia="仿宋_GB2312" w:cs="TimesNewRoman"/>
          <w:kern w:val="0"/>
          <w:sz w:val="32"/>
          <w:szCs w:val="32"/>
        </w:rPr>
        <w:t>家庭经济困难学生生活</w:t>
      </w:r>
      <w:r>
        <w:rPr>
          <w:rFonts w:hint="eastAsia" w:ascii="TimesNewRoman" w:hAnsi="TimesNewRoman" w:eastAsia="仿宋_GB2312" w:cs="TimesNewRoman"/>
          <w:kern w:val="0"/>
          <w:sz w:val="32"/>
          <w:szCs w:val="32"/>
          <w:lang w:eastAsia="zh-CN"/>
        </w:rPr>
        <w:t>。</w:t>
      </w:r>
    </w:p>
    <w:p w14:paraId="7FCFBC58">
      <w:pPr>
        <w:ind w:firstLine="640" w:firstLineChars="200"/>
        <w:rPr>
          <w:rFonts w:hint="eastAsia" w:ascii="TimesNewRoman" w:hAnsi="TimesNewRoman" w:eastAsia="仿宋_GB2312" w:cs="TimesNewRoman"/>
          <w:bCs/>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bCs/>
          <w:sz w:val="32"/>
          <w:szCs w:val="32"/>
        </w:rPr>
        <w:t>淮北市首府实验小学</w:t>
      </w:r>
    </w:p>
    <w:p w14:paraId="48D29A84">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2024.1-2024.12。</w:t>
      </w:r>
    </w:p>
    <w:p w14:paraId="77911327">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（5）项目内容。助学金2.05万元</w:t>
      </w:r>
    </w:p>
    <w:p w14:paraId="5D98C108">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2.05万元</w:t>
      </w:r>
    </w:p>
    <w:p w14:paraId="354242C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109C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61F4462">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394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7046989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（2024年度）                                </w:t>
            </w:r>
          </w:p>
        </w:tc>
      </w:tr>
      <w:tr w14:paraId="443C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76467C34">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C9B9430">
            <w:pPr>
              <w:jc w:val="center"/>
              <w:rPr>
                <w:rFonts w:ascii="宋体" w:cs="宋体"/>
                <w:sz w:val="20"/>
              </w:rPr>
            </w:pPr>
            <w:r>
              <w:rPr>
                <w:rFonts w:hint="eastAsia" w:ascii="宋体" w:cs="宋体"/>
                <w:sz w:val="20"/>
                <w:lang w:eastAsia="zh-CN"/>
              </w:rPr>
              <w:t>2024_家庭经济困难学生生活补助_小学</w:t>
            </w:r>
          </w:p>
        </w:tc>
      </w:tr>
      <w:tr w14:paraId="0E5C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29992A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EEFEB9F">
            <w:pPr>
              <w:jc w:val="center"/>
              <w:rPr>
                <w:rFonts w:hint="eastAsia" w:ascii="宋体" w:cs="宋体" w:hAnsiTheme="minorHAnsi" w:eastAsiaTheme="minorEastAsia"/>
                <w:kern w:val="2"/>
                <w:sz w:val="20"/>
                <w:szCs w:val="22"/>
                <w:lang w:val="en-US" w:eastAsia="zh-CN" w:bidi="ar-SA"/>
              </w:rPr>
            </w:pPr>
            <w:r>
              <w:rPr>
                <w:rFonts w:hint="eastAsia" w:ascii="宋体" w:cs="宋体"/>
                <w:sz w:val="20"/>
                <w:lang w:val="en-US" w:eastAsia="zh-CN"/>
              </w:rPr>
              <w:t>065-</w:t>
            </w:r>
            <w:r>
              <w:rPr>
                <w:rFonts w:hint="eastAsia" w:ascii="宋体" w:cs="宋体"/>
                <w:sz w:val="20"/>
                <w:lang w:eastAsia="zh-CN"/>
              </w:rPr>
              <w:t>淮北市教育局</w:t>
            </w:r>
          </w:p>
        </w:tc>
        <w:tc>
          <w:tcPr>
            <w:tcW w:w="1848" w:type="dxa"/>
            <w:tcBorders>
              <w:tl2br w:val="nil"/>
              <w:tr2bl w:val="nil"/>
            </w:tcBorders>
            <w:vAlign w:val="center"/>
          </w:tcPr>
          <w:p w14:paraId="5716B067">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45AC296">
            <w:pPr>
              <w:jc w:val="center"/>
              <w:rPr>
                <w:rFonts w:asciiTheme="minorHAnsi" w:hAnsiTheme="minorHAnsi" w:eastAsiaTheme="minorEastAsia" w:cstheme="minorBidi"/>
                <w:kern w:val="2"/>
                <w:sz w:val="21"/>
                <w:szCs w:val="22"/>
                <w:lang w:val="en-US" w:eastAsia="zh-CN" w:bidi="ar-SA"/>
              </w:rPr>
            </w:pPr>
            <w:r>
              <w:rPr>
                <w:rFonts w:hint="eastAsia"/>
                <w:color w:val="000000"/>
                <w:sz w:val="20"/>
                <w:szCs w:val="20"/>
              </w:rPr>
              <w:t>淮北市首府实验小学</w:t>
            </w:r>
          </w:p>
        </w:tc>
      </w:tr>
      <w:tr w14:paraId="439B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514D9B50">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62C90417">
            <w:pPr>
              <w:jc w:val="center"/>
              <w:rPr>
                <w:rFonts w:hint="eastAsia" w:ascii="宋体" w:cs="宋体" w:hAnsiTheme="minorHAnsi" w:eastAsiaTheme="minorEastAsia"/>
                <w:kern w:val="2"/>
                <w:sz w:val="20"/>
                <w:szCs w:val="22"/>
                <w:lang w:val="en-US" w:eastAsia="zh-CN" w:bidi="ar-SA"/>
              </w:rPr>
            </w:pPr>
            <w:r>
              <w:rPr>
                <w:rFonts w:hint="eastAsia" w:ascii="宋体" w:cs="宋体"/>
                <w:sz w:val="20"/>
              </w:rPr>
              <w:t>1-本级申报项目</w:t>
            </w:r>
          </w:p>
        </w:tc>
        <w:tc>
          <w:tcPr>
            <w:tcW w:w="1848" w:type="dxa"/>
            <w:tcBorders>
              <w:tl2br w:val="nil"/>
              <w:tr2bl w:val="nil"/>
            </w:tcBorders>
            <w:vAlign w:val="center"/>
          </w:tcPr>
          <w:p w14:paraId="1E8B16E6">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A80A623">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2024.1-2024.12</w:t>
            </w:r>
          </w:p>
        </w:tc>
      </w:tr>
      <w:tr w14:paraId="4112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4FE26BB2">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7815F009">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3B88C02A">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19EE20EF">
            <w:pPr>
              <w:jc w:val="right"/>
              <w:rPr>
                <w:rFonts w:hint="default" w:ascii="宋体" w:cs="宋体" w:eastAsiaTheme="minorEastAsia"/>
                <w:sz w:val="20"/>
                <w:lang w:val="en-US" w:eastAsia="zh-CN"/>
              </w:rPr>
            </w:pPr>
            <w:r>
              <w:rPr>
                <w:rFonts w:hint="eastAsia" w:ascii="宋体" w:cs="宋体"/>
                <w:sz w:val="20"/>
                <w:lang w:val="en-US" w:eastAsia="zh-CN"/>
              </w:rPr>
              <w:t>2.05</w:t>
            </w:r>
          </w:p>
        </w:tc>
      </w:tr>
      <w:tr w14:paraId="3337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CE4C785">
            <w:pPr>
              <w:jc w:val="center"/>
              <w:rPr>
                <w:rFonts w:ascii="宋体" w:cs="宋体"/>
                <w:sz w:val="20"/>
              </w:rPr>
            </w:pPr>
          </w:p>
        </w:tc>
        <w:tc>
          <w:tcPr>
            <w:tcW w:w="3349" w:type="dxa"/>
            <w:gridSpan w:val="2"/>
            <w:tcBorders>
              <w:tl2br w:val="nil"/>
              <w:tr2bl w:val="nil"/>
            </w:tcBorders>
            <w:vAlign w:val="center"/>
          </w:tcPr>
          <w:p w14:paraId="2FB64DE5">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0D72BF2">
            <w:pPr>
              <w:jc w:val="right"/>
              <w:rPr>
                <w:rFonts w:hint="default" w:ascii="宋体" w:cs="宋体" w:eastAsiaTheme="minorEastAsia"/>
                <w:sz w:val="20"/>
                <w:lang w:val="en-US" w:eastAsia="zh-CN"/>
              </w:rPr>
            </w:pPr>
            <w:r>
              <w:rPr>
                <w:rFonts w:hint="eastAsia" w:ascii="宋体" w:cs="宋体"/>
                <w:sz w:val="20"/>
                <w:lang w:val="en-US" w:eastAsia="zh-CN"/>
              </w:rPr>
              <w:t>2.05</w:t>
            </w:r>
          </w:p>
        </w:tc>
      </w:tr>
      <w:tr w14:paraId="39D8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9C7940C">
            <w:pPr>
              <w:jc w:val="center"/>
              <w:rPr>
                <w:rFonts w:ascii="宋体" w:cs="宋体"/>
                <w:sz w:val="20"/>
              </w:rPr>
            </w:pPr>
          </w:p>
        </w:tc>
        <w:tc>
          <w:tcPr>
            <w:tcW w:w="3349" w:type="dxa"/>
            <w:gridSpan w:val="2"/>
            <w:tcBorders>
              <w:tl2br w:val="nil"/>
              <w:tr2bl w:val="nil"/>
            </w:tcBorders>
            <w:vAlign w:val="center"/>
          </w:tcPr>
          <w:p w14:paraId="03169D87">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5661D813">
            <w:pPr>
              <w:jc w:val="center"/>
              <w:rPr>
                <w:rFonts w:ascii="宋体" w:cs="宋体"/>
                <w:sz w:val="20"/>
              </w:rPr>
            </w:pPr>
          </w:p>
        </w:tc>
      </w:tr>
      <w:tr w14:paraId="2754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0DE9D67">
            <w:pPr>
              <w:jc w:val="center"/>
              <w:rPr>
                <w:rFonts w:ascii="宋体" w:cs="宋体"/>
                <w:sz w:val="20"/>
              </w:rPr>
            </w:pPr>
          </w:p>
        </w:tc>
        <w:tc>
          <w:tcPr>
            <w:tcW w:w="3349" w:type="dxa"/>
            <w:gridSpan w:val="2"/>
            <w:tcBorders>
              <w:tl2br w:val="nil"/>
              <w:tr2bl w:val="nil"/>
            </w:tcBorders>
            <w:vAlign w:val="center"/>
          </w:tcPr>
          <w:p w14:paraId="105F9D33">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9C4B0FA">
            <w:pPr>
              <w:jc w:val="right"/>
              <w:rPr>
                <w:rFonts w:ascii="宋体" w:cs="宋体"/>
                <w:sz w:val="20"/>
              </w:rPr>
            </w:pPr>
          </w:p>
        </w:tc>
      </w:tr>
      <w:tr w14:paraId="61C3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81F8250">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35540CB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2D10E9C0">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为解决</w:t>
            </w:r>
            <w:r>
              <w:rPr>
                <w:rFonts w:hint="eastAsia" w:ascii="宋体" w:hAnsi="宋体" w:eastAsia="宋体" w:cs="宋体"/>
                <w:color w:val="000000"/>
                <w:kern w:val="0"/>
                <w:sz w:val="20"/>
                <w:szCs w:val="20"/>
              </w:rPr>
              <w:t>家庭经济困难学生生活</w:t>
            </w:r>
            <w:r>
              <w:rPr>
                <w:rFonts w:hint="eastAsia" w:ascii="宋体" w:hAnsi="宋体" w:eastAsia="宋体" w:cs="宋体"/>
                <w:color w:val="000000"/>
                <w:kern w:val="0"/>
                <w:sz w:val="20"/>
                <w:szCs w:val="20"/>
                <w:lang w:eastAsia="zh-CN"/>
              </w:rPr>
              <w:t>。</w:t>
            </w:r>
          </w:p>
        </w:tc>
      </w:tr>
      <w:tr w14:paraId="0EA7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43FBB7B">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331610D5">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0CD57AB3">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4A011794">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10D2F8E">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170FC58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1B521F9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0F9ECD21">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3FDF95F6">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84A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7D0E44D">
            <w:pPr>
              <w:jc w:val="center"/>
              <w:rPr>
                <w:rFonts w:ascii="宋体" w:cs="宋体"/>
                <w:sz w:val="20"/>
              </w:rPr>
            </w:pPr>
          </w:p>
        </w:tc>
        <w:tc>
          <w:tcPr>
            <w:tcW w:w="723" w:type="dxa"/>
            <w:vMerge w:val="restart"/>
            <w:tcBorders>
              <w:tl2br w:val="nil"/>
              <w:tr2bl w:val="nil"/>
            </w:tcBorders>
            <w:vAlign w:val="center"/>
          </w:tcPr>
          <w:p w14:paraId="405BEF80">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646974D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549CD9E9">
            <w:pPr>
              <w:widowControl/>
              <w:jc w:val="left"/>
              <w:textAlignment w:val="center"/>
              <w:rPr>
                <w:rFonts w:hint="eastAsia" w:ascii="宋体" w:eastAsia="宋体" w:cs="宋体"/>
                <w:sz w:val="20"/>
                <w:lang w:eastAsia="zh-CN"/>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学生人数</w:t>
            </w:r>
          </w:p>
        </w:tc>
        <w:tc>
          <w:tcPr>
            <w:tcW w:w="4228" w:type="dxa"/>
            <w:gridSpan w:val="2"/>
            <w:tcBorders>
              <w:tl2br w:val="nil"/>
              <w:tr2bl w:val="nil"/>
            </w:tcBorders>
            <w:vAlign w:val="center"/>
          </w:tcPr>
          <w:p w14:paraId="27B0658A">
            <w:pPr>
              <w:jc w:val="center"/>
              <w:rPr>
                <w:rFonts w:hint="default" w:ascii="宋体" w:cs="宋体"/>
                <w:sz w:val="20"/>
                <w:lang w:val="en-US"/>
              </w:rPr>
            </w:pPr>
            <w:r>
              <w:rPr>
                <w:rFonts w:hint="eastAsia" w:ascii="宋体" w:cs="宋体"/>
                <w:sz w:val="20"/>
                <w:lang w:val="en-US" w:eastAsia="zh-CN"/>
              </w:rPr>
              <w:t>41人</w:t>
            </w:r>
          </w:p>
        </w:tc>
      </w:tr>
      <w:tr w14:paraId="7CD2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D23B20">
            <w:pPr>
              <w:jc w:val="center"/>
              <w:rPr>
                <w:rFonts w:ascii="宋体" w:cs="宋体"/>
                <w:sz w:val="20"/>
              </w:rPr>
            </w:pPr>
          </w:p>
        </w:tc>
        <w:tc>
          <w:tcPr>
            <w:tcW w:w="723" w:type="dxa"/>
            <w:vMerge w:val="continue"/>
            <w:tcBorders>
              <w:tl2br w:val="nil"/>
              <w:tr2bl w:val="nil"/>
            </w:tcBorders>
            <w:vAlign w:val="center"/>
          </w:tcPr>
          <w:p w14:paraId="45C05C75">
            <w:pPr>
              <w:jc w:val="center"/>
              <w:rPr>
                <w:rFonts w:ascii="宋体" w:cs="宋体"/>
                <w:sz w:val="20"/>
              </w:rPr>
            </w:pPr>
          </w:p>
        </w:tc>
        <w:tc>
          <w:tcPr>
            <w:tcW w:w="759" w:type="dxa"/>
            <w:gridSpan w:val="2"/>
            <w:tcBorders>
              <w:tl2br w:val="nil"/>
              <w:tr2bl w:val="nil"/>
            </w:tcBorders>
            <w:vAlign w:val="center"/>
          </w:tcPr>
          <w:p w14:paraId="7CFCD7C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096BAE4F">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sz w:val="20"/>
                <w:szCs w:val="20"/>
              </w:rPr>
              <w:t>经费支出合规性</w:t>
            </w:r>
          </w:p>
        </w:tc>
        <w:tc>
          <w:tcPr>
            <w:tcW w:w="4228" w:type="dxa"/>
            <w:gridSpan w:val="2"/>
            <w:tcBorders>
              <w:tl2br w:val="nil"/>
              <w:tr2bl w:val="nil"/>
            </w:tcBorders>
            <w:vAlign w:val="center"/>
          </w:tcPr>
          <w:p w14:paraId="39D4DC6E">
            <w:pPr>
              <w:jc w:val="center"/>
              <w:rPr>
                <w:rFonts w:ascii="宋体" w:cs="宋体"/>
                <w:sz w:val="20"/>
              </w:rPr>
            </w:pPr>
            <w:r>
              <w:rPr>
                <w:sz w:val="20"/>
                <w:szCs w:val="20"/>
              </w:rPr>
              <w:t>严格执行相关财经法规制度</w:t>
            </w:r>
          </w:p>
        </w:tc>
      </w:tr>
      <w:tr w14:paraId="48C8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B21D726">
            <w:pPr>
              <w:jc w:val="center"/>
              <w:rPr>
                <w:rFonts w:ascii="宋体" w:cs="宋体"/>
                <w:sz w:val="20"/>
              </w:rPr>
            </w:pPr>
          </w:p>
        </w:tc>
        <w:tc>
          <w:tcPr>
            <w:tcW w:w="723" w:type="dxa"/>
            <w:vMerge w:val="continue"/>
            <w:tcBorders>
              <w:tl2br w:val="nil"/>
              <w:tr2bl w:val="nil"/>
            </w:tcBorders>
            <w:vAlign w:val="center"/>
          </w:tcPr>
          <w:p w14:paraId="4926E6C4">
            <w:pPr>
              <w:jc w:val="center"/>
              <w:rPr>
                <w:rFonts w:ascii="宋体" w:cs="宋体"/>
                <w:sz w:val="20"/>
              </w:rPr>
            </w:pPr>
          </w:p>
        </w:tc>
        <w:tc>
          <w:tcPr>
            <w:tcW w:w="759" w:type="dxa"/>
            <w:gridSpan w:val="2"/>
            <w:tcBorders>
              <w:tl2br w:val="nil"/>
              <w:tr2bl w:val="nil"/>
            </w:tcBorders>
            <w:vAlign w:val="center"/>
          </w:tcPr>
          <w:p w14:paraId="63435DE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68AA6914">
            <w:pPr>
              <w:widowControl/>
              <w:jc w:val="left"/>
              <w:textAlignment w:val="center"/>
              <w:rPr>
                <w:sz w:val="20"/>
                <w:szCs w:val="20"/>
              </w:rPr>
            </w:pPr>
            <w:r>
              <w:rPr>
                <w:rFonts w:hint="eastAsia" w:ascii="宋体" w:hAnsi="宋体" w:eastAsia="宋体" w:cs="宋体"/>
                <w:color w:val="000000"/>
                <w:kern w:val="0"/>
                <w:sz w:val="20"/>
                <w:szCs w:val="20"/>
              </w:rPr>
              <w:t>指标1：</w:t>
            </w:r>
            <w:r>
              <w:rPr>
                <w:sz w:val="20"/>
                <w:szCs w:val="20"/>
              </w:rPr>
              <w:t>项目完成及时性</w:t>
            </w:r>
          </w:p>
        </w:tc>
        <w:tc>
          <w:tcPr>
            <w:tcW w:w="4228" w:type="dxa"/>
            <w:gridSpan w:val="2"/>
            <w:tcBorders>
              <w:tl2br w:val="nil"/>
              <w:tr2bl w:val="nil"/>
            </w:tcBorders>
            <w:vAlign w:val="center"/>
          </w:tcPr>
          <w:p w14:paraId="5FC39C5E">
            <w:pPr>
              <w:jc w:val="center"/>
              <w:rPr>
                <w:sz w:val="20"/>
                <w:szCs w:val="20"/>
              </w:rPr>
            </w:pPr>
            <w:r>
              <w:rPr>
                <w:sz w:val="20"/>
                <w:szCs w:val="20"/>
              </w:rPr>
              <w:t>按计划实施该项目</w:t>
            </w:r>
          </w:p>
        </w:tc>
      </w:tr>
      <w:tr w14:paraId="4B16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45DBAFF">
            <w:pPr>
              <w:jc w:val="center"/>
              <w:rPr>
                <w:rFonts w:ascii="宋体" w:cs="宋体"/>
                <w:sz w:val="20"/>
              </w:rPr>
            </w:pPr>
          </w:p>
        </w:tc>
        <w:tc>
          <w:tcPr>
            <w:tcW w:w="723" w:type="dxa"/>
            <w:vMerge w:val="continue"/>
            <w:tcBorders>
              <w:tl2br w:val="nil"/>
              <w:tr2bl w:val="nil"/>
            </w:tcBorders>
            <w:vAlign w:val="center"/>
          </w:tcPr>
          <w:p w14:paraId="4857D581">
            <w:pPr>
              <w:jc w:val="center"/>
              <w:rPr>
                <w:rFonts w:ascii="宋体" w:cs="宋体"/>
                <w:sz w:val="20"/>
              </w:rPr>
            </w:pPr>
          </w:p>
        </w:tc>
        <w:tc>
          <w:tcPr>
            <w:tcW w:w="759" w:type="dxa"/>
            <w:gridSpan w:val="2"/>
            <w:tcBorders>
              <w:tl2br w:val="nil"/>
              <w:tr2bl w:val="nil"/>
            </w:tcBorders>
            <w:vAlign w:val="center"/>
          </w:tcPr>
          <w:p w14:paraId="2C5496FA">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4DCDA8F1">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sz w:val="20"/>
                <w:szCs w:val="20"/>
              </w:rPr>
              <w:t>项目总成本</w:t>
            </w:r>
          </w:p>
        </w:tc>
        <w:tc>
          <w:tcPr>
            <w:tcW w:w="4228" w:type="dxa"/>
            <w:gridSpan w:val="2"/>
            <w:tcBorders>
              <w:tl2br w:val="nil"/>
              <w:tr2bl w:val="nil"/>
            </w:tcBorders>
            <w:vAlign w:val="center"/>
          </w:tcPr>
          <w:p w14:paraId="2D4C93CB">
            <w:pPr>
              <w:jc w:val="center"/>
              <w:rPr>
                <w:rFonts w:ascii="宋体" w:cs="宋体"/>
                <w:sz w:val="20"/>
              </w:rPr>
            </w:pPr>
            <w:r>
              <w:rPr>
                <w:rFonts w:hint="eastAsia" w:ascii="宋体" w:cs="宋体"/>
                <w:sz w:val="20"/>
                <w:lang w:val="en-US" w:eastAsia="zh-CN"/>
              </w:rPr>
              <w:t>≤2.05万元</w:t>
            </w:r>
          </w:p>
        </w:tc>
      </w:tr>
      <w:tr w14:paraId="6EF6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9768346">
            <w:pPr>
              <w:jc w:val="center"/>
              <w:rPr>
                <w:rFonts w:ascii="宋体" w:cs="宋体"/>
                <w:sz w:val="20"/>
              </w:rPr>
            </w:pPr>
          </w:p>
        </w:tc>
        <w:tc>
          <w:tcPr>
            <w:tcW w:w="723" w:type="dxa"/>
            <w:vMerge w:val="restart"/>
            <w:tcBorders>
              <w:tl2br w:val="nil"/>
              <w:tr2bl w:val="nil"/>
            </w:tcBorders>
            <w:vAlign w:val="center"/>
          </w:tcPr>
          <w:p w14:paraId="63B9FD43">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26711A2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5904ADDD">
            <w:pPr>
              <w:widowControl/>
              <w:jc w:val="left"/>
              <w:textAlignment w:val="center"/>
              <w:rPr>
                <w:rFonts w:ascii="宋体" w:cs="宋体"/>
                <w:sz w:val="20"/>
              </w:rPr>
            </w:pPr>
            <w:r>
              <w:rPr>
                <w:rFonts w:hint="eastAsia"/>
                <w:sz w:val="20"/>
                <w:szCs w:val="20"/>
              </w:rPr>
              <w:t>指标1：</w:t>
            </w:r>
            <w:r>
              <w:rPr>
                <w:sz w:val="20"/>
                <w:szCs w:val="20"/>
              </w:rPr>
              <w:t>开源节流</w:t>
            </w:r>
          </w:p>
        </w:tc>
        <w:tc>
          <w:tcPr>
            <w:tcW w:w="4228" w:type="dxa"/>
            <w:gridSpan w:val="2"/>
            <w:tcBorders>
              <w:tl2br w:val="nil"/>
              <w:tr2bl w:val="nil"/>
            </w:tcBorders>
            <w:vAlign w:val="center"/>
          </w:tcPr>
          <w:p w14:paraId="371BAAED">
            <w:pPr>
              <w:widowControl/>
              <w:jc w:val="center"/>
              <w:textAlignment w:val="center"/>
              <w:rPr>
                <w:rFonts w:ascii="宋体" w:cs="宋体"/>
                <w:sz w:val="20"/>
              </w:rPr>
            </w:pPr>
            <w:r>
              <w:rPr>
                <w:sz w:val="20"/>
                <w:szCs w:val="20"/>
              </w:rPr>
              <w:t>用最少的资金完成更多的任务</w:t>
            </w:r>
          </w:p>
        </w:tc>
      </w:tr>
      <w:tr w14:paraId="7B92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0BCDA4B">
            <w:pPr>
              <w:jc w:val="center"/>
              <w:rPr>
                <w:rFonts w:ascii="宋体" w:cs="宋体"/>
                <w:sz w:val="20"/>
              </w:rPr>
            </w:pPr>
          </w:p>
        </w:tc>
        <w:tc>
          <w:tcPr>
            <w:tcW w:w="723" w:type="dxa"/>
            <w:vMerge w:val="continue"/>
            <w:tcBorders>
              <w:tl2br w:val="nil"/>
              <w:tr2bl w:val="nil"/>
            </w:tcBorders>
            <w:vAlign w:val="center"/>
          </w:tcPr>
          <w:p w14:paraId="6B94BDE8">
            <w:pPr>
              <w:jc w:val="center"/>
              <w:rPr>
                <w:rFonts w:ascii="宋体" w:cs="宋体"/>
                <w:sz w:val="20"/>
              </w:rPr>
            </w:pPr>
          </w:p>
        </w:tc>
        <w:tc>
          <w:tcPr>
            <w:tcW w:w="759" w:type="dxa"/>
            <w:gridSpan w:val="2"/>
            <w:tcBorders>
              <w:tl2br w:val="nil"/>
              <w:tr2bl w:val="nil"/>
            </w:tcBorders>
            <w:vAlign w:val="center"/>
          </w:tcPr>
          <w:p w14:paraId="21B6C2C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4EEFEFCA">
            <w:pPr>
              <w:widowControl/>
              <w:jc w:val="left"/>
              <w:textAlignment w:val="center"/>
              <w:rPr>
                <w:rFonts w:ascii="宋体" w:cs="宋体"/>
                <w:sz w:val="20"/>
              </w:rPr>
            </w:pPr>
            <w:r>
              <w:rPr>
                <w:rFonts w:hint="eastAsia"/>
                <w:sz w:val="20"/>
                <w:szCs w:val="20"/>
              </w:rPr>
              <w:t>指标1：</w:t>
            </w:r>
            <w:r>
              <w:rPr>
                <w:rFonts w:hint="eastAsia" w:ascii="宋体" w:hAnsi="宋体" w:eastAsia="宋体" w:cs="宋体"/>
                <w:color w:val="000000"/>
                <w:kern w:val="0"/>
                <w:sz w:val="20"/>
                <w:szCs w:val="20"/>
                <w:lang w:eastAsia="zh-CN"/>
              </w:rPr>
              <w:t>解决</w:t>
            </w:r>
            <w:r>
              <w:rPr>
                <w:rFonts w:hint="eastAsia" w:ascii="宋体" w:hAnsi="宋体" w:eastAsia="宋体" w:cs="宋体"/>
                <w:color w:val="000000"/>
                <w:kern w:val="0"/>
                <w:sz w:val="20"/>
                <w:szCs w:val="20"/>
              </w:rPr>
              <w:t>家庭经济困难学生生活</w:t>
            </w:r>
          </w:p>
        </w:tc>
        <w:tc>
          <w:tcPr>
            <w:tcW w:w="4228" w:type="dxa"/>
            <w:gridSpan w:val="2"/>
            <w:tcBorders>
              <w:tl2br w:val="nil"/>
              <w:tr2bl w:val="nil"/>
            </w:tcBorders>
            <w:vAlign w:val="center"/>
          </w:tcPr>
          <w:p w14:paraId="606DDAF4">
            <w:pPr>
              <w:widowControl/>
              <w:jc w:val="center"/>
              <w:textAlignment w:val="center"/>
              <w:rPr>
                <w:rFonts w:ascii="宋体" w:cs="宋体"/>
                <w:sz w:val="20"/>
              </w:rPr>
            </w:pPr>
            <w:r>
              <w:rPr>
                <w:rFonts w:hint="eastAsia" w:ascii="宋体" w:hAnsi="宋体" w:eastAsia="宋体" w:cs="宋体"/>
                <w:color w:val="000000"/>
                <w:kern w:val="0"/>
                <w:sz w:val="20"/>
                <w:szCs w:val="20"/>
                <w:lang w:eastAsia="zh-CN"/>
              </w:rPr>
              <w:t>有效解决</w:t>
            </w:r>
            <w:r>
              <w:rPr>
                <w:rFonts w:hint="eastAsia" w:ascii="宋体" w:hAnsi="宋体" w:eastAsia="宋体" w:cs="宋体"/>
                <w:color w:val="000000"/>
                <w:kern w:val="0"/>
                <w:sz w:val="20"/>
                <w:szCs w:val="20"/>
              </w:rPr>
              <w:t>家庭经济困难学生生活</w:t>
            </w:r>
          </w:p>
        </w:tc>
      </w:tr>
      <w:tr w14:paraId="5BDB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ED1A940">
            <w:pPr>
              <w:jc w:val="center"/>
              <w:rPr>
                <w:rFonts w:ascii="宋体" w:cs="宋体"/>
                <w:sz w:val="20"/>
              </w:rPr>
            </w:pPr>
          </w:p>
        </w:tc>
        <w:tc>
          <w:tcPr>
            <w:tcW w:w="723" w:type="dxa"/>
            <w:vMerge w:val="continue"/>
            <w:tcBorders>
              <w:tl2br w:val="nil"/>
              <w:tr2bl w:val="nil"/>
            </w:tcBorders>
            <w:vAlign w:val="center"/>
          </w:tcPr>
          <w:p w14:paraId="667EB238">
            <w:pPr>
              <w:jc w:val="center"/>
              <w:rPr>
                <w:rFonts w:ascii="宋体" w:cs="宋体"/>
                <w:sz w:val="20"/>
              </w:rPr>
            </w:pPr>
          </w:p>
        </w:tc>
        <w:tc>
          <w:tcPr>
            <w:tcW w:w="759" w:type="dxa"/>
            <w:gridSpan w:val="2"/>
            <w:tcBorders>
              <w:tl2br w:val="nil"/>
              <w:tr2bl w:val="nil"/>
            </w:tcBorders>
            <w:vAlign w:val="center"/>
          </w:tcPr>
          <w:p w14:paraId="2CAB478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0D7E26C2">
            <w:pPr>
              <w:widowControl/>
              <w:jc w:val="left"/>
              <w:textAlignment w:val="center"/>
              <w:rPr>
                <w:rFonts w:ascii="宋体" w:cs="宋体"/>
                <w:sz w:val="20"/>
              </w:rPr>
            </w:pPr>
            <w:r>
              <w:rPr>
                <w:rFonts w:hint="eastAsia" w:ascii="宋体" w:hAnsi="宋体" w:eastAsia="宋体" w:cs="宋体"/>
                <w:color w:val="000000"/>
                <w:kern w:val="0"/>
                <w:sz w:val="20"/>
                <w:szCs w:val="20"/>
              </w:rPr>
              <w:t>指标1：消除安全隐患、美化校园环节</w:t>
            </w:r>
          </w:p>
        </w:tc>
        <w:tc>
          <w:tcPr>
            <w:tcW w:w="4228" w:type="dxa"/>
            <w:gridSpan w:val="2"/>
            <w:tcBorders>
              <w:tl2br w:val="nil"/>
              <w:tr2bl w:val="nil"/>
            </w:tcBorders>
            <w:vAlign w:val="center"/>
          </w:tcPr>
          <w:p w14:paraId="1A6C87FF">
            <w:pPr>
              <w:widowControl/>
              <w:jc w:val="center"/>
              <w:textAlignment w:val="center"/>
              <w:rPr>
                <w:rFonts w:ascii="宋体" w:cs="宋体"/>
                <w:sz w:val="20"/>
              </w:rPr>
            </w:pPr>
            <w:r>
              <w:rPr>
                <w:rFonts w:hint="eastAsia" w:ascii="宋体" w:hAnsi="宋体" w:eastAsia="宋体" w:cs="宋体"/>
                <w:color w:val="000000"/>
                <w:kern w:val="0"/>
                <w:sz w:val="20"/>
                <w:szCs w:val="20"/>
              </w:rPr>
              <w:t>努力打造安全、美化的校园环境</w:t>
            </w:r>
          </w:p>
        </w:tc>
      </w:tr>
      <w:tr w14:paraId="559A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4517C29">
            <w:pPr>
              <w:jc w:val="center"/>
              <w:rPr>
                <w:rFonts w:ascii="宋体" w:cs="宋体"/>
                <w:sz w:val="20"/>
              </w:rPr>
            </w:pPr>
          </w:p>
        </w:tc>
        <w:tc>
          <w:tcPr>
            <w:tcW w:w="723" w:type="dxa"/>
            <w:vMerge w:val="continue"/>
            <w:tcBorders>
              <w:tl2br w:val="nil"/>
              <w:tr2bl w:val="nil"/>
            </w:tcBorders>
            <w:vAlign w:val="center"/>
          </w:tcPr>
          <w:p w14:paraId="6E77E5FA">
            <w:pPr>
              <w:jc w:val="center"/>
              <w:rPr>
                <w:rFonts w:ascii="宋体" w:cs="宋体"/>
                <w:sz w:val="20"/>
              </w:rPr>
            </w:pPr>
          </w:p>
        </w:tc>
        <w:tc>
          <w:tcPr>
            <w:tcW w:w="759" w:type="dxa"/>
            <w:gridSpan w:val="2"/>
            <w:tcBorders>
              <w:tl2br w:val="nil"/>
              <w:tr2bl w:val="nil"/>
            </w:tcBorders>
            <w:vAlign w:val="center"/>
          </w:tcPr>
          <w:p w14:paraId="597981B8">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7CFDC32D">
            <w:pPr>
              <w:widowControl/>
              <w:jc w:val="center"/>
              <w:textAlignment w:val="center"/>
              <w:rPr>
                <w:rFonts w:ascii="宋体" w:hAnsi="宋体" w:eastAsia="宋体" w:cs="宋体"/>
                <w:sz w:val="20"/>
              </w:rPr>
            </w:pPr>
            <w:r>
              <w:rPr>
                <w:rFonts w:hint="eastAsia" w:ascii="宋体" w:hAnsi="宋体" w:eastAsia="宋体" w:cs="宋体"/>
                <w:color w:val="000000"/>
                <w:kern w:val="0"/>
                <w:sz w:val="20"/>
                <w:szCs w:val="20"/>
              </w:rPr>
              <w:t>指标1：保障教育教学工作开展</w:t>
            </w:r>
          </w:p>
        </w:tc>
        <w:tc>
          <w:tcPr>
            <w:tcW w:w="4228" w:type="dxa"/>
            <w:gridSpan w:val="2"/>
            <w:tcBorders>
              <w:tl2br w:val="nil"/>
              <w:tr2bl w:val="nil"/>
            </w:tcBorders>
            <w:vAlign w:val="center"/>
          </w:tcPr>
          <w:p w14:paraId="7142C388">
            <w:pPr>
              <w:widowControl/>
              <w:jc w:val="center"/>
              <w:textAlignment w:val="center"/>
              <w:rPr>
                <w:rFonts w:ascii="宋体" w:cs="宋体"/>
                <w:sz w:val="20"/>
              </w:rPr>
            </w:pPr>
            <w:r>
              <w:rPr>
                <w:rFonts w:hint="eastAsia" w:ascii="宋体" w:hAnsi="宋体" w:eastAsia="宋体" w:cs="宋体"/>
                <w:color w:val="000000"/>
                <w:kern w:val="0"/>
                <w:sz w:val="20"/>
                <w:szCs w:val="20"/>
              </w:rPr>
              <w:t>有效保障教育教学工作开展</w:t>
            </w:r>
          </w:p>
        </w:tc>
      </w:tr>
      <w:tr w14:paraId="45E0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6FA6B0">
            <w:pPr>
              <w:jc w:val="center"/>
              <w:rPr>
                <w:rFonts w:ascii="宋体" w:cs="宋体"/>
                <w:sz w:val="20"/>
              </w:rPr>
            </w:pPr>
          </w:p>
        </w:tc>
        <w:tc>
          <w:tcPr>
            <w:tcW w:w="723" w:type="dxa"/>
            <w:tcBorders>
              <w:tl2br w:val="nil"/>
              <w:tr2bl w:val="nil"/>
            </w:tcBorders>
            <w:vAlign w:val="center"/>
          </w:tcPr>
          <w:p w14:paraId="4A23F345">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B6AF4DA">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8B06905">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服务对象满意度</w:t>
            </w:r>
          </w:p>
        </w:tc>
        <w:tc>
          <w:tcPr>
            <w:tcW w:w="4228" w:type="dxa"/>
            <w:gridSpan w:val="2"/>
            <w:tcBorders>
              <w:tl2br w:val="nil"/>
              <w:tr2bl w:val="nil"/>
            </w:tcBorders>
            <w:vAlign w:val="center"/>
          </w:tcPr>
          <w:p w14:paraId="5C6C6DB5">
            <w:pPr>
              <w:jc w:val="center"/>
              <w:rPr>
                <w:rFonts w:ascii="宋体" w:cs="宋体"/>
                <w:sz w:val="20"/>
              </w:rPr>
            </w:pPr>
            <w:r>
              <w:rPr>
                <w:rFonts w:hint="eastAsia"/>
                <w:sz w:val="20"/>
                <w:szCs w:val="20"/>
              </w:rPr>
              <w:t>≥95%</w:t>
            </w:r>
          </w:p>
        </w:tc>
      </w:tr>
    </w:tbl>
    <w:p w14:paraId="0FAF5D66">
      <w:pPr>
        <w:ind w:firstLine="640" w:firstLineChars="200"/>
        <w:rPr>
          <w:rFonts w:ascii="TimesNewRoman" w:hAnsi="TimesNewRoman" w:eastAsia="仿宋_GB2312" w:cs="TimesNewRoman"/>
          <w:color w:val="000000" w:themeColor="text1"/>
          <w:kern w:val="0"/>
          <w:sz w:val="32"/>
          <w:szCs w:val="32"/>
        </w:rPr>
      </w:pPr>
      <w:r>
        <w:rPr>
          <w:rFonts w:hint="eastAsia" w:ascii="TimesNewRoman" w:hAnsi="TimesNewRoman" w:eastAsia="仿宋_GB2312" w:cs="TimesNewRoman"/>
          <w:color w:val="000000" w:themeColor="text1"/>
          <w:kern w:val="0"/>
          <w:sz w:val="32"/>
          <w:szCs w:val="32"/>
          <w:lang w:val="en-US" w:eastAsia="zh-CN"/>
        </w:rPr>
        <w:t>3</w:t>
      </w:r>
      <w:r>
        <w:rPr>
          <w:rFonts w:hint="eastAsia" w:ascii="TimesNewRoman" w:hAnsi="TimesNewRoman" w:eastAsia="仿宋_GB2312" w:cs="TimesNewRoman"/>
          <w:color w:val="000000" w:themeColor="text1"/>
          <w:kern w:val="0"/>
          <w:sz w:val="32"/>
          <w:szCs w:val="32"/>
        </w:rPr>
        <w:t>、“2024_城乡义务教育生均公用经费_小学”项目。</w:t>
      </w:r>
    </w:p>
    <w:p w14:paraId="5B4BA062">
      <w:pPr>
        <w:ind w:firstLine="640" w:firstLineChars="200"/>
        <w:rPr>
          <w:rFonts w:hint="eastAsia" w:ascii="TimesNewRoman" w:hAnsi="TimesNewRoman" w:eastAsia="仿宋_GB2312" w:cs="TimesNewRoman"/>
          <w:color w:val="000000" w:themeColor="text1"/>
          <w:kern w:val="0"/>
          <w:sz w:val="32"/>
          <w:szCs w:val="32"/>
          <w:lang w:val="en-US" w:eastAsia="zh-CN"/>
        </w:rPr>
      </w:pPr>
      <w:r>
        <w:rPr>
          <w:rFonts w:hint="eastAsia" w:ascii="TimesNewRoman" w:hAnsi="TimesNewRoman" w:eastAsia="仿宋_GB2312" w:cs="TimesNewRoman"/>
          <w:color w:val="000000" w:themeColor="text1"/>
          <w:kern w:val="0"/>
          <w:sz w:val="32"/>
          <w:szCs w:val="32"/>
        </w:rPr>
        <w:t>（1）项目概述。在校学生数3436人*745元*40%=102.39万元，主要用于电费、培训费、印刷费、其他交通费、维修维护费、办公费、邮电费、专用设备购置、办公设备购置、其他商品和服务等支出</w:t>
      </w:r>
      <w:r>
        <w:rPr>
          <w:rFonts w:hint="eastAsia" w:ascii="TimesNewRoman" w:hAnsi="TimesNewRoman" w:eastAsia="仿宋_GB2312" w:cs="TimesNewRoman"/>
          <w:color w:val="000000" w:themeColor="text1"/>
          <w:kern w:val="0"/>
          <w:sz w:val="32"/>
          <w:szCs w:val="32"/>
          <w:lang w:eastAsia="zh-CN"/>
        </w:rPr>
        <w:t>。</w:t>
      </w:r>
    </w:p>
    <w:p w14:paraId="1F176871">
      <w:pPr>
        <w:ind w:firstLine="640" w:firstLineChars="200"/>
        <w:rPr>
          <w:rFonts w:hint="eastAsia" w:ascii="TimesNewRoman" w:hAnsi="TimesNewRoman" w:eastAsia="仿宋_GB2312" w:cs="TimesNewRoman"/>
          <w:kern w:val="0"/>
          <w:sz w:val="32"/>
          <w:szCs w:val="32"/>
          <w:lang w:eastAsia="zh-CN"/>
        </w:rPr>
      </w:pPr>
      <w:r>
        <w:rPr>
          <w:rFonts w:hint="eastAsia" w:ascii="TimesNewRoman" w:hAnsi="TimesNewRoman" w:eastAsia="仿宋_GB2312" w:cs="TimesNewRoman"/>
          <w:kern w:val="0"/>
          <w:sz w:val="32"/>
          <w:szCs w:val="32"/>
        </w:rPr>
        <w:t>（2）立项依据。</w:t>
      </w:r>
      <w:r>
        <w:rPr>
          <w:rFonts w:hint="eastAsia" w:ascii="TimesNewRoman" w:hAnsi="TimesNewRoman" w:eastAsia="仿宋_GB2312" w:cs="TimesNewRoman"/>
          <w:kern w:val="0"/>
          <w:sz w:val="32"/>
          <w:szCs w:val="32"/>
          <w:lang w:eastAsia="zh-CN"/>
        </w:rPr>
        <w:t>高效保障教育教学工作开展。</w:t>
      </w:r>
    </w:p>
    <w:p w14:paraId="1646A122">
      <w:pPr>
        <w:ind w:firstLine="640" w:firstLineChars="200"/>
        <w:rPr>
          <w:rFonts w:hint="eastAsia" w:ascii="TimesNewRoman" w:hAnsi="TimesNewRoman" w:eastAsia="仿宋_GB2312" w:cs="TimesNewRoman"/>
          <w:bCs/>
          <w:sz w:val="32"/>
          <w:szCs w:val="32"/>
        </w:rPr>
      </w:pPr>
      <w:r>
        <w:rPr>
          <w:rFonts w:hint="eastAsia" w:ascii="TimesNewRoman" w:hAnsi="TimesNewRoman" w:eastAsia="仿宋_GB2312" w:cs="TimesNewRoman"/>
          <w:kern w:val="0"/>
          <w:sz w:val="32"/>
          <w:szCs w:val="32"/>
        </w:rPr>
        <w:t>（3）实施主体。</w:t>
      </w:r>
      <w:r>
        <w:rPr>
          <w:rFonts w:hint="eastAsia" w:ascii="TimesNewRoman" w:hAnsi="TimesNewRoman" w:eastAsia="仿宋_GB2312" w:cs="TimesNewRoman"/>
          <w:bCs/>
          <w:sz w:val="32"/>
          <w:szCs w:val="32"/>
        </w:rPr>
        <w:t>淮北市首府实验小学</w:t>
      </w:r>
    </w:p>
    <w:p w14:paraId="4B07FDB8">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（4）起止时间。</w:t>
      </w:r>
      <w:r>
        <w:rPr>
          <w:rFonts w:hint="eastAsia" w:ascii="TimesNewRoman" w:hAnsi="TimesNewRoman" w:eastAsia="仿宋_GB2312" w:cs="TimesNewRoman"/>
          <w:kern w:val="0"/>
          <w:sz w:val="32"/>
          <w:szCs w:val="32"/>
          <w:lang w:val="en-US" w:eastAsia="zh-CN"/>
        </w:rPr>
        <w:t>2024.1-2024.12。</w:t>
      </w:r>
    </w:p>
    <w:p w14:paraId="089599C7">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（5）项目内容。在校学生数3436人*745元*40%=102.39万元，主要用于电费、培训费、印刷费、其他交通费、维修维护费、办公费、邮电费、专用设备购置、办公设备购置、其他商品和服务等支出</w:t>
      </w:r>
      <w:r>
        <w:rPr>
          <w:rFonts w:hint="eastAsia" w:ascii="TimesNewRoman" w:hAnsi="TimesNewRoman" w:eastAsia="仿宋_GB2312" w:cs="TimesNewRoman"/>
          <w:kern w:val="0"/>
          <w:sz w:val="32"/>
          <w:szCs w:val="32"/>
          <w:lang w:eastAsia="zh-CN"/>
        </w:rPr>
        <w:t>。</w:t>
      </w:r>
    </w:p>
    <w:p w14:paraId="0461F40B">
      <w:pPr>
        <w:ind w:firstLine="640" w:firstLineChars="200"/>
        <w:rPr>
          <w:rFonts w:hint="eastAsia" w:ascii="TimesNewRoman" w:hAnsi="TimesNewRoman" w:eastAsia="仿宋_GB2312" w:cs="TimesNewRoman"/>
          <w:kern w:val="0"/>
          <w:sz w:val="32"/>
          <w:szCs w:val="32"/>
          <w:lang w:val="en-US" w:eastAsia="zh-CN"/>
        </w:rPr>
      </w:pPr>
      <w:r>
        <w:rPr>
          <w:rFonts w:hint="eastAsia" w:ascii="TimesNewRoman" w:hAnsi="TimesNewRoman" w:eastAsia="仿宋_GB2312" w:cs="TimesNewRoman"/>
          <w:kern w:val="0"/>
          <w:sz w:val="32"/>
          <w:szCs w:val="32"/>
        </w:rPr>
        <w:t>（6）年度预算安排。</w:t>
      </w:r>
      <w:r>
        <w:rPr>
          <w:rFonts w:hint="eastAsia" w:ascii="TimesNewRoman" w:hAnsi="TimesNewRoman" w:eastAsia="仿宋_GB2312" w:cs="TimesNewRoman"/>
          <w:kern w:val="0"/>
          <w:sz w:val="32"/>
          <w:szCs w:val="32"/>
          <w:lang w:val="en-US" w:eastAsia="zh-CN"/>
        </w:rPr>
        <w:t>102.39万元。</w:t>
      </w:r>
    </w:p>
    <w:p w14:paraId="6BB3428A">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63B0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04B57CC7">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581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F727D1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（2024年度）                                </w:t>
            </w:r>
          </w:p>
        </w:tc>
      </w:tr>
      <w:tr w14:paraId="3B27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61D4EF1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2BA2B41E">
            <w:pPr>
              <w:jc w:val="center"/>
              <w:rPr>
                <w:rFonts w:ascii="宋体" w:cs="宋体"/>
                <w:sz w:val="20"/>
              </w:rPr>
            </w:pPr>
            <w:r>
              <w:rPr>
                <w:rFonts w:hint="eastAsia"/>
                <w:color w:val="000000"/>
                <w:sz w:val="20"/>
                <w:szCs w:val="20"/>
              </w:rPr>
              <w:t>2024_城乡义务教育生均公用经费_小学</w:t>
            </w:r>
          </w:p>
        </w:tc>
      </w:tr>
      <w:tr w14:paraId="1C03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EE69E4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7EC1C217">
            <w:pPr>
              <w:jc w:val="center"/>
              <w:rPr>
                <w:rFonts w:hint="eastAsia" w:ascii="宋体" w:cs="宋体" w:hAnsiTheme="minorHAnsi" w:eastAsiaTheme="minorEastAsia"/>
                <w:kern w:val="2"/>
                <w:sz w:val="20"/>
                <w:szCs w:val="22"/>
                <w:lang w:val="en-US" w:eastAsia="zh-CN" w:bidi="ar-SA"/>
              </w:rPr>
            </w:pPr>
            <w:r>
              <w:rPr>
                <w:rFonts w:hint="eastAsia" w:ascii="宋体" w:cs="宋体"/>
                <w:sz w:val="20"/>
                <w:lang w:val="en-US" w:eastAsia="zh-CN"/>
              </w:rPr>
              <w:t>065-</w:t>
            </w:r>
            <w:r>
              <w:rPr>
                <w:rFonts w:hint="eastAsia" w:ascii="宋体" w:cs="宋体"/>
                <w:sz w:val="20"/>
                <w:lang w:eastAsia="zh-CN"/>
              </w:rPr>
              <w:t>淮北市教育局</w:t>
            </w:r>
          </w:p>
        </w:tc>
        <w:tc>
          <w:tcPr>
            <w:tcW w:w="1848" w:type="dxa"/>
            <w:tcBorders>
              <w:tl2br w:val="nil"/>
              <w:tr2bl w:val="nil"/>
            </w:tcBorders>
            <w:vAlign w:val="center"/>
          </w:tcPr>
          <w:p w14:paraId="57D1A191">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A629448">
            <w:pPr>
              <w:jc w:val="center"/>
              <w:rPr>
                <w:rFonts w:asciiTheme="minorHAnsi" w:hAnsiTheme="minorHAnsi" w:eastAsiaTheme="minorEastAsia" w:cstheme="minorBidi"/>
                <w:kern w:val="2"/>
                <w:sz w:val="21"/>
                <w:szCs w:val="22"/>
                <w:lang w:val="en-US" w:eastAsia="zh-CN" w:bidi="ar-SA"/>
              </w:rPr>
            </w:pPr>
            <w:r>
              <w:rPr>
                <w:rFonts w:hint="eastAsia"/>
                <w:color w:val="000000"/>
                <w:sz w:val="20"/>
                <w:szCs w:val="20"/>
              </w:rPr>
              <w:t>淮北市首府实验小学</w:t>
            </w:r>
          </w:p>
        </w:tc>
      </w:tr>
      <w:tr w14:paraId="4072D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7C1DA94">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BA2ED39">
            <w:pPr>
              <w:jc w:val="center"/>
              <w:rPr>
                <w:rFonts w:hint="eastAsia" w:ascii="宋体" w:cs="宋体" w:hAnsiTheme="minorHAnsi" w:eastAsiaTheme="minorEastAsia"/>
                <w:kern w:val="2"/>
                <w:sz w:val="20"/>
                <w:szCs w:val="22"/>
                <w:lang w:val="en-US" w:eastAsia="zh-CN" w:bidi="ar-SA"/>
              </w:rPr>
            </w:pPr>
            <w:r>
              <w:rPr>
                <w:rFonts w:hint="eastAsia" w:ascii="宋体" w:cs="宋体"/>
                <w:sz w:val="20"/>
              </w:rPr>
              <w:t>1-本级申报项目</w:t>
            </w:r>
          </w:p>
        </w:tc>
        <w:tc>
          <w:tcPr>
            <w:tcW w:w="1848" w:type="dxa"/>
            <w:tcBorders>
              <w:tl2br w:val="nil"/>
              <w:tr2bl w:val="nil"/>
            </w:tcBorders>
            <w:vAlign w:val="center"/>
          </w:tcPr>
          <w:p w14:paraId="5984AC22">
            <w:pPr>
              <w:widowControl/>
              <w:jc w:val="center"/>
              <w:textAlignment w:val="center"/>
              <w:rPr>
                <w:rFonts w:asciiTheme="minorHAnsi" w:hAnsiTheme="minorHAnsi" w:eastAsiaTheme="minorEastAsia" w:cstheme="minorBidi"/>
                <w:kern w:val="2"/>
                <w:sz w:val="21"/>
                <w:szCs w:val="22"/>
                <w:lang w:val="en-US" w:eastAsia="zh-CN" w:bidi="ar-SA"/>
              </w:rP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1287FFA">
            <w:pPr>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2024.1-2024.12</w:t>
            </w:r>
          </w:p>
        </w:tc>
      </w:tr>
      <w:tr w14:paraId="679A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15C2537B">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项目资金</w:t>
            </w:r>
          </w:p>
          <w:p w14:paraId="71546EC3">
            <w:pPr>
              <w:widowControl/>
              <w:jc w:val="center"/>
              <w:textAlignment w:val="center"/>
              <w:rPr>
                <w:rFonts w:ascii="宋体" w:cs="宋体"/>
                <w:sz w:val="20"/>
              </w:rPr>
            </w:pP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5811DE3">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2C02ABDB">
            <w:pPr>
              <w:jc w:val="right"/>
              <w:rPr>
                <w:rFonts w:hint="default" w:ascii="宋体" w:cs="宋体" w:eastAsiaTheme="minorEastAsia"/>
                <w:sz w:val="20"/>
                <w:lang w:val="en-US" w:eastAsia="zh-CN"/>
              </w:rPr>
            </w:pPr>
            <w:r>
              <w:rPr>
                <w:rFonts w:hint="eastAsia" w:ascii="宋体" w:cs="宋体"/>
                <w:sz w:val="20"/>
                <w:lang w:val="en-US" w:eastAsia="zh-CN"/>
              </w:rPr>
              <w:t>102.39</w:t>
            </w:r>
          </w:p>
        </w:tc>
      </w:tr>
      <w:tr w14:paraId="28B8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BDF69A5">
            <w:pPr>
              <w:jc w:val="center"/>
              <w:rPr>
                <w:rFonts w:ascii="宋体" w:cs="宋体"/>
                <w:sz w:val="20"/>
              </w:rPr>
            </w:pPr>
          </w:p>
        </w:tc>
        <w:tc>
          <w:tcPr>
            <w:tcW w:w="3349" w:type="dxa"/>
            <w:gridSpan w:val="2"/>
            <w:tcBorders>
              <w:tl2br w:val="nil"/>
              <w:tr2bl w:val="nil"/>
            </w:tcBorders>
            <w:vAlign w:val="center"/>
          </w:tcPr>
          <w:p w14:paraId="31D4D5E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7F318ACE">
            <w:pPr>
              <w:jc w:val="right"/>
              <w:rPr>
                <w:rFonts w:hint="default" w:ascii="宋体" w:cs="宋体" w:eastAsiaTheme="minorEastAsia"/>
                <w:sz w:val="20"/>
                <w:lang w:val="en-US" w:eastAsia="zh-CN"/>
              </w:rPr>
            </w:pPr>
            <w:r>
              <w:rPr>
                <w:rFonts w:hint="eastAsia" w:ascii="宋体" w:cs="宋体"/>
                <w:sz w:val="20"/>
                <w:lang w:val="en-US" w:eastAsia="zh-CN"/>
              </w:rPr>
              <w:t>102.39</w:t>
            </w:r>
          </w:p>
        </w:tc>
      </w:tr>
      <w:tr w14:paraId="16EF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FB0A1C">
            <w:pPr>
              <w:jc w:val="center"/>
              <w:rPr>
                <w:rFonts w:ascii="宋体" w:cs="宋体"/>
                <w:sz w:val="20"/>
              </w:rPr>
            </w:pPr>
          </w:p>
        </w:tc>
        <w:tc>
          <w:tcPr>
            <w:tcW w:w="3349" w:type="dxa"/>
            <w:gridSpan w:val="2"/>
            <w:tcBorders>
              <w:tl2br w:val="nil"/>
              <w:tr2bl w:val="nil"/>
            </w:tcBorders>
            <w:vAlign w:val="center"/>
          </w:tcPr>
          <w:p w14:paraId="11F3B91C">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AF48668">
            <w:pPr>
              <w:jc w:val="center"/>
              <w:rPr>
                <w:rFonts w:ascii="宋体" w:cs="宋体"/>
                <w:sz w:val="20"/>
              </w:rPr>
            </w:pPr>
          </w:p>
        </w:tc>
      </w:tr>
      <w:tr w14:paraId="5A87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63078E6">
            <w:pPr>
              <w:jc w:val="center"/>
              <w:rPr>
                <w:rFonts w:ascii="宋体" w:cs="宋体"/>
                <w:sz w:val="20"/>
              </w:rPr>
            </w:pPr>
          </w:p>
        </w:tc>
        <w:tc>
          <w:tcPr>
            <w:tcW w:w="3349" w:type="dxa"/>
            <w:gridSpan w:val="2"/>
            <w:tcBorders>
              <w:tl2br w:val="nil"/>
              <w:tr2bl w:val="nil"/>
            </w:tcBorders>
            <w:vAlign w:val="center"/>
          </w:tcPr>
          <w:p w14:paraId="643C59B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73F6898">
            <w:pPr>
              <w:jc w:val="right"/>
              <w:rPr>
                <w:rFonts w:ascii="宋体" w:cs="宋体"/>
                <w:sz w:val="20"/>
              </w:rPr>
            </w:pPr>
          </w:p>
        </w:tc>
      </w:tr>
      <w:tr w14:paraId="2312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38" w:type="dxa"/>
            <w:tcBorders>
              <w:tl2br w:val="nil"/>
              <w:tr2bl w:val="nil"/>
            </w:tcBorders>
            <w:vAlign w:val="center"/>
          </w:tcPr>
          <w:p w14:paraId="3C823498">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年度</w:t>
            </w:r>
          </w:p>
          <w:p w14:paraId="37A95F7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44E7A1B">
            <w:pPr>
              <w:jc w:val="left"/>
              <w:rPr>
                <w:rFonts w:hint="eastAsia" w:ascii="宋体" w:cs="宋体"/>
                <w:sz w:val="20"/>
                <w:lang w:eastAsia="zh-CN"/>
              </w:rPr>
            </w:pPr>
            <w:r>
              <w:rPr>
                <w:rFonts w:hint="eastAsia" w:ascii="宋体" w:cs="宋体"/>
                <w:sz w:val="20"/>
                <w:lang w:eastAsia="zh-CN"/>
              </w:rPr>
              <w:t>高效保障教育教学工作开展。</w:t>
            </w:r>
          </w:p>
          <w:p w14:paraId="101353A7">
            <w:pPr>
              <w:widowControl/>
              <w:jc w:val="left"/>
              <w:textAlignment w:val="center"/>
              <w:rPr>
                <w:rFonts w:hint="eastAsia" w:ascii="宋体" w:hAnsi="宋体" w:eastAsia="宋体" w:cs="宋体"/>
                <w:color w:val="000000"/>
                <w:kern w:val="0"/>
                <w:sz w:val="20"/>
                <w:szCs w:val="20"/>
              </w:rPr>
            </w:pPr>
          </w:p>
        </w:tc>
      </w:tr>
      <w:tr w14:paraId="2B5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C3A71CD">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绩</w:t>
            </w:r>
          </w:p>
          <w:p w14:paraId="7BDCB1BA">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效</w:t>
            </w:r>
          </w:p>
          <w:p w14:paraId="3ED2B55C">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指</w:t>
            </w:r>
          </w:p>
          <w:p w14:paraId="71A2785F">
            <w:pPr>
              <w:widowControl/>
              <w:jc w:val="center"/>
              <w:textAlignment w:val="center"/>
              <w:rPr>
                <w:rFonts w:ascii="宋体" w:cs="宋体"/>
                <w:sz w:val="20"/>
              </w:rPr>
            </w:pP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41719C70">
            <w:pPr>
              <w:widowControl/>
              <w:spacing w:line="200" w:lineRule="exact"/>
              <w:jc w:val="center"/>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一级</w:t>
            </w:r>
          </w:p>
          <w:p w14:paraId="64872EB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3E0C30F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18CA1A2D">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4011784">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4723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E20F05B">
            <w:pPr>
              <w:jc w:val="center"/>
              <w:rPr>
                <w:rFonts w:ascii="宋体" w:cs="宋体"/>
                <w:sz w:val="20"/>
              </w:rPr>
            </w:pPr>
          </w:p>
        </w:tc>
        <w:tc>
          <w:tcPr>
            <w:tcW w:w="723" w:type="dxa"/>
            <w:vMerge w:val="restart"/>
            <w:tcBorders>
              <w:tl2br w:val="nil"/>
              <w:tr2bl w:val="nil"/>
            </w:tcBorders>
            <w:vAlign w:val="center"/>
          </w:tcPr>
          <w:p w14:paraId="5D6B362A">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011169B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1DCF1F3F">
            <w:pPr>
              <w:widowControl/>
              <w:jc w:val="left"/>
              <w:textAlignment w:val="center"/>
              <w:rPr>
                <w:rFonts w:hint="eastAsia" w:ascii="宋体" w:eastAsia="宋体" w:cs="宋体"/>
                <w:sz w:val="20"/>
                <w:lang w:eastAsia="zh-CN"/>
              </w:rPr>
            </w:pPr>
            <w:r>
              <w:rPr>
                <w:rFonts w:hint="eastAsia" w:ascii="宋体" w:hAnsi="宋体" w:eastAsia="宋体" w:cs="宋体"/>
                <w:color w:val="000000"/>
                <w:kern w:val="0"/>
                <w:sz w:val="20"/>
                <w:szCs w:val="20"/>
              </w:rPr>
              <w:t>指标1：</w:t>
            </w:r>
            <w:r>
              <w:rPr>
                <w:sz w:val="20"/>
                <w:szCs w:val="20"/>
              </w:rPr>
              <w:t>保障学生人数</w:t>
            </w:r>
          </w:p>
        </w:tc>
        <w:tc>
          <w:tcPr>
            <w:tcW w:w="4228" w:type="dxa"/>
            <w:gridSpan w:val="2"/>
            <w:tcBorders>
              <w:tl2br w:val="nil"/>
              <w:tr2bl w:val="nil"/>
            </w:tcBorders>
            <w:vAlign w:val="center"/>
          </w:tcPr>
          <w:p w14:paraId="5B4E6FF1">
            <w:pPr>
              <w:jc w:val="center"/>
              <w:rPr>
                <w:rFonts w:hint="default" w:ascii="宋体" w:cs="宋体"/>
                <w:sz w:val="20"/>
                <w:lang w:val="en-US"/>
              </w:rPr>
            </w:pPr>
            <w:r>
              <w:rPr>
                <w:rFonts w:hint="eastAsia" w:ascii="宋体" w:cs="宋体"/>
                <w:sz w:val="20"/>
                <w:lang w:val="en-US" w:eastAsia="zh-CN"/>
              </w:rPr>
              <w:t>3436人</w:t>
            </w:r>
          </w:p>
        </w:tc>
      </w:tr>
      <w:tr w14:paraId="5CA7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C2D1362">
            <w:pPr>
              <w:jc w:val="center"/>
              <w:rPr>
                <w:rFonts w:ascii="宋体" w:cs="宋体"/>
                <w:sz w:val="20"/>
              </w:rPr>
            </w:pPr>
          </w:p>
        </w:tc>
        <w:tc>
          <w:tcPr>
            <w:tcW w:w="723" w:type="dxa"/>
            <w:vMerge w:val="continue"/>
            <w:tcBorders>
              <w:tl2br w:val="nil"/>
              <w:tr2bl w:val="nil"/>
            </w:tcBorders>
            <w:vAlign w:val="center"/>
          </w:tcPr>
          <w:p w14:paraId="68C1823D">
            <w:pPr>
              <w:jc w:val="center"/>
              <w:rPr>
                <w:rFonts w:ascii="宋体" w:cs="宋体"/>
                <w:sz w:val="20"/>
              </w:rPr>
            </w:pPr>
          </w:p>
        </w:tc>
        <w:tc>
          <w:tcPr>
            <w:tcW w:w="759" w:type="dxa"/>
            <w:gridSpan w:val="2"/>
            <w:tcBorders>
              <w:tl2br w:val="nil"/>
              <w:tr2bl w:val="nil"/>
            </w:tcBorders>
            <w:vAlign w:val="center"/>
          </w:tcPr>
          <w:p w14:paraId="2B0516F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872" w:type="dxa"/>
            <w:tcBorders>
              <w:tl2br w:val="nil"/>
              <w:tr2bl w:val="nil"/>
            </w:tcBorders>
            <w:vAlign w:val="center"/>
          </w:tcPr>
          <w:p w14:paraId="6B80743D">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sz w:val="20"/>
                <w:szCs w:val="20"/>
              </w:rPr>
              <w:t>经费支出合规性</w:t>
            </w:r>
          </w:p>
        </w:tc>
        <w:tc>
          <w:tcPr>
            <w:tcW w:w="4228" w:type="dxa"/>
            <w:gridSpan w:val="2"/>
            <w:tcBorders>
              <w:tl2br w:val="nil"/>
              <w:tr2bl w:val="nil"/>
            </w:tcBorders>
            <w:vAlign w:val="center"/>
          </w:tcPr>
          <w:p w14:paraId="3AE9721E">
            <w:pPr>
              <w:jc w:val="center"/>
              <w:rPr>
                <w:rFonts w:ascii="宋体" w:cs="宋体"/>
                <w:sz w:val="20"/>
              </w:rPr>
            </w:pPr>
            <w:r>
              <w:rPr>
                <w:sz w:val="20"/>
                <w:szCs w:val="20"/>
              </w:rPr>
              <w:t>严格执行相关财经法规制度</w:t>
            </w:r>
          </w:p>
        </w:tc>
      </w:tr>
      <w:tr w14:paraId="53CA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C25AE8">
            <w:pPr>
              <w:jc w:val="center"/>
              <w:rPr>
                <w:rFonts w:ascii="宋体" w:cs="宋体"/>
                <w:sz w:val="20"/>
              </w:rPr>
            </w:pPr>
          </w:p>
        </w:tc>
        <w:tc>
          <w:tcPr>
            <w:tcW w:w="723" w:type="dxa"/>
            <w:vMerge w:val="continue"/>
            <w:tcBorders>
              <w:tl2br w:val="nil"/>
              <w:tr2bl w:val="nil"/>
            </w:tcBorders>
            <w:vAlign w:val="center"/>
          </w:tcPr>
          <w:p w14:paraId="5B70A9C1">
            <w:pPr>
              <w:jc w:val="center"/>
              <w:rPr>
                <w:rFonts w:ascii="宋体" w:cs="宋体"/>
                <w:sz w:val="20"/>
              </w:rPr>
            </w:pPr>
          </w:p>
        </w:tc>
        <w:tc>
          <w:tcPr>
            <w:tcW w:w="759" w:type="dxa"/>
            <w:gridSpan w:val="2"/>
            <w:tcBorders>
              <w:tl2br w:val="nil"/>
              <w:tr2bl w:val="nil"/>
            </w:tcBorders>
            <w:vAlign w:val="center"/>
          </w:tcPr>
          <w:p w14:paraId="74ECD40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872" w:type="dxa"/>
            <w:tcBorders>
              <w:tl2br w:val="nil"/>
              <w:tr2bl w:val="nil"/>
            </w:tcBorders>
            <w:vAlign w:val="center"/>
          </w:tcPr>
          <w:p w14:paraId="1326C431">
            <w:pPr>
              <w:jc w:val="left"/>
              <w:rPr>
                <w:rFonts w:ascii="宋体" w:cs="宋体"/>
                <w:sz w:val="20"/>
              </w:rPr>
            </w:pPr>
            <w:r>
              <w:rPr>
                <w:rFonts w:hint="eastAsia"/>
                <w:sz w:val="20"/>
                <w:szCs w:val="20"/>
              </w:rPr>
              <w:t>指标1：</w:t>
            </w:r>
            <w:r>
              <w:rPr>
                <w:sz w:val="20"/>
                <w:szCs w:val="20"/>
              </w:rPr>
              <w:t>经费下达时间</w:t>
            </w:r>
          </w:p>
        </w:tc>
        <w:tc>
          <w:tcPr>
            <w:tcW w:w="4228" w:type="dxa"/>
            <w:gridSpan w:val="2"/>
            <w:tcBorders>
              <w:tl2br w:val="nil"/>
              <w:tr2bl w:val="nil"/>
            </w:tcBorders>
            <w:vAlign w:val="center"/>
          </w:tcPr>
          <w:p w14:paraId="32ECD343">
            <w:pPr>
              <w:jc w:val="center"/>
              <w:rPr>
                <w:rFonts w:ascii="宋体" w:cs="宋体"/>
                <w:sz w:val="20"/>
              </w:rPr>
            </w:pPr>
            <w:r>
              <w:rPr>
                <w:sz w:val="20"/>
                <w:szCs w:val="20"/>
              </w:rPr>
              <w:t>准时下达</w:t>
            </w:r>
          </w:p>
        </w:tc>
      </w:tr>
      <w:tr w14:paraId="1AF8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915D30">
            <w:pPr>
              <w:jc w:val="center"/>
              <w:rPr>
                <w:rFonts w:ascii="宋体" w:cs="宋体"/>
                <w:sz w:val="20"/>
              </w:rPr>
            </w:pPr>
          </w:p>
        </w:tc>
        <w:tc>
          <w:tcPr>
            <w:tcW w:w="723" w:type="dxa"/>
            <w:vMerge w:val="continue"/>
            <w:tcBorders>
              <w:tl2br w:val="nil"/>
              <w:tr2bl w:val="nil"/>
            </w:tcBorders>
            <w:vAlign w:val="center"/>
          </w:tcPr>
          <w:p w14:paraId="088CF63E">
            <w:pPr>
              <w:jc w:val="center"/>
              <w:rPr>
                <w:rFonts w:ascii="宋体" w:cs="宋体"/>
                <w:sz w:val="20"/>
              </w:rPr>
            </w:pPr>
          </w:p>
        </w:tc>
        <w:tc>
          <w:tcPr>
            <w:tcW w:w="759" w:type="dxa"/>
            <w:gridSpan w:val="2"/>
            <w:tcBorders>
              <w:tl2br w:val="nil"/>
              <w:tr2bl w:val="nil"/>
            </w:tcBorders>
            <w:vAlign w:val="center"/>
          </w:tcPr>
          <w:p w14:paraId="7716B8D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63E19F87">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sz w:val="20"/>
                <w:szCs w:val="20"/>
              </w:rPr>
              <w:t>项目总成本</w:t>
            </w:r>
          </w:p>
        </w:tc>
        <w:tc>
          <w:tcPr>
            <w:tcW w:w="4228" w:type="dxa"/>
            <w:gridSpan w:val="2"/>
            <w:tcBorders>
              <w:tl2br w:val="nil"/>
              <w:tr2bl w:val="nil"/>
            </w:tcBorders>
            <w:vAlign w:val="center"/>
          </w:tcPr>
          <w:p w14:paraId="195DFA6F">
            <w:pPr>
              <w:jc w:val="center"/>
              <w:rPr>
                <w:rFonts w:ascii="宋体" w:cs="宋体"/>
                <w:sz w:val="20"/>
              </w:rPr>
            </w:pPr>
            <w:r>
              <w:rPr>
                <w:rFonts w:hint="eastAsia" w:ascii="宋体" w:cs="宋体"/>
                <w:sz w:val="20"/>
                <w:lang w:val="en-US" w:eastAsia="zh-CN"/>
              </w:rPr>
              <w:t>≤102.39万元</w:t>
            </w:r>
          </w:p>
        </w:tc>
      </w:tr>
      <w:tr w14:paraId="2811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B3A4FFF">
            <w:pPr>
              <w:jc w:val="center"/>
              <w:rPr>
                <w:rFonts w:ascii="宋体" w:cs="宋体"/>
                <w:sz w:val="20"/>
              </w:rPr>
            </w:pPr>
          </w:p>
        </w:tc>
        <w:tc>
          <w:tcPr>
            <w:tcW w:w="723" w:type="dxa"/>
            <w:vMerge w:val="restart"/>
            <w:tcBorders>
              <w:tl2br w:val="nil"/>
              <w:tr2bl w:val="nil"/>
            </w:tcBorders>
            <w:vAlign w:val="center"/>
          </w:tcPr>
          <w:p w14:paraId="17382D78">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759" w:type="dxa"/>
            <w:gridSpan w:val="2"/>
            <w:tcBorders>
              <w:tl2br w:val="nil"/>
              <w:tr2bl w:val="nil"/>
            </w:tcBorders>
            <w:vAlign w:val="center"/>
          </w:tcPr>
          <w:p w14:paraId="3D74AE8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872" w:type="dxa"/>
            <w:tcBorders>
              <w:tl2br w:val="nil"/>
              <w:tr2bl w:val="nil"/>
            </w:tcBorders>
            <w:vAlign w:val="center"/>
          </w:tcPr>
          <w:p w14:paraId="71BF9919">
            <w:pPr>
              <w:widowControl/>
              <w:jc w:val="left"/>
              <w:textAlignment w:val="center"/>
              <w:rPr>
                <w:rFonts w:ascii="宋体" w:cs="宋体"/>
                <w:sz w:val="20"/>
              </w:rPr>
            </w:pPr>
            <w:r>
              <w:rPr>
                <w:rFonts w:hint="eastAsia"/>
                <w:sz w:val="20"/>
                <w:szCs w:val="20"/>
              </w:rPr>
              <w:t>指标1：</w:t>
            </w:r>
            <w:r>
              <w:rPr>
                <w:sz w:val="20"/>
                <w:szCs w:val="20"/>
              </w:rPr>
              <w:t>开源节流</w:t>
            </w:r>
          </w:p>
        </w:tc>
        <w:tc>
          <w:tcPr>
            <w:tcW w:w="4228" w:type="dxa"/>
            <w:gridSpan w:val="2"/>
            <w:tcBorders>
              <w:tl2br w:val="nil"/>
              <w:tr2bl w:val="nil"/>
            </w:tcBorders>
            <w:vAlign w:val="center"/>
          </w:tcPr>
          <w:p w14:paraId="4BC2980D">
            <w:pPr>
              <w:widowControl/>
              <w:jc w:val="center"/>
              <w:textAlignment w:val="center"/>
              <w:rPr>
                <w:rFonts w:ascii="宋体" w:cs="宋体"/>
                <w:sz w:val="20"/>
              </w:rPr>
            </w:pPr>
            <w:r>
              <w:rPr>
                <w:sz w:val="20"/>
                <w:szCs w:val="20"/>
              </w:rPr>
              <w:t>用最少的资金完成更多的任务</w:t>
            </w:r>
          </w:p>
        </w:tc>
      </w:tr>
      <w:tr w14:paraId="1CDAD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26C4EDD">
            <w:pPr>
              <w:jc w:val="center"/>
              <w:rPr>
                <w:rFonts w:ascii="宋体" w:cs="宋体"/>
                <w:sz w:val="20"/>
              </w:rPr>
            </w:pPr>
          </w:p>
        </w:tc>
        <w:tc>
          <w:tcPr>
            <w:tcW w:w="723" w:type="dxa"/>
            <w:vMerge w:val="continue"/>
            <w:tcBorders>
              <w:tl2br w:val="nil"/>
              <w:tr2bl w:val="nil"/>
            </w:tcBorders>
            <w:vAlign w:val="center"/>
          </w:tcPr>
          <w:p w14:paraId="54D73706">
            <w:pPr>
              <w:jc w:val="center"/>
              <w:rPr>
                <w:rFonts w:ascii="宋体" w:cs="宋体"/>
                <w:sz w:val="20"/>
              </w:rPr>
            </w:pPr>
          </w:p>
        </w:tc>
        <w:tc>
          <w:tcPr>
            <w:tcW w:w="759" w:type="dxa"/>
            <w:gridSpan w:val="2"/>
            <w:tcBorders>
              <w:tl2br w:val="nil"/>
              <w:tr2bl w:val="nil"/>
            </w:tcBorders>
            <w:vAlign w:val="center"/>
          </w:tcPr>
          <w:p w14:paraId="759B158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5B0285C4">
            <w:pPr>
              <w:widowControl/>
              <w:jc w:val="left"/>
              <w:textAlignment w:val="center"/>
              <w:rPr>
                <w:rFonts w:ascii="宋体" w:cs="宋体"/>
                <w:sz w:val="20"/>
              </w:rPr>
            </w:pPr>
            <w:r>
              <w:rPr>
                <w:rFonts w:hint="eastAsia"/>
                <w:sz w:val="20"/>
                <w:szCs w:val="20"/>
              </w:rPr>
              <w:t>指标1：</w:t>
            </w:r>
            <w:r>
              <w:rPr>
                <w:sz w:val="20"/>
                <w:szCs w:val="20"/>
              </w:rPr>
              <w:t>义务教育薄弱环节改善和能力提升</w:t>
            </w:r>
          </w:p>
        </w:tc>
        <w:tc>
          <w:tcPr>
            <w:tcW w:w="4228" w:type="dxa"/>
            <w:gridSpan w:val="2"/>
            <w:tcBorders>
              <w:tl2br w:val="nil"/>
              <w:tr2bl w:val="nil"/>
            </w:tcBorders>
            <w:vAlign w:val="center"/>
          </w:tcPr>
          <w:p w14:paraId="3256A4B7">
            <w:pPr>
              <w:widowControl/>
              <w:jc w:val="center"/>
              <w:textAlignment w:val="center"/>
              <w:rPr>
                <w:rFonts w:ascii="宋体" w:cs="宋体"/>
                <w:sz w:val="20"/>
              </w:rPr>
            </w:pPr>
            <w:r>
              <w:rPr>
                <w:sz w:val="20"/>
                <w:szCs w:val="20"/>
              </w:rPr>
              <w:t>加强教师队伍建设和学生素质的提高</w:t>
            </w:r>
          </w:p>
        </w:tc>
      </w:tr>
      <w:tr w14:paraId="03FD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AAEE5A5">
            <w:pPr>
              <w:jc w:val="center"/>
              <w:rPr>
                <w:rFonts w:ascii="宋体" w:cs="宋体"/>
                <w:sz w:val="20"/>
              </w:rPr>
            </w:pPr>
          </w:p>
        </w:tc>
        <w:tc>
          <w:tcPr>
            <w:tcW w:w="723" w:type="dxa"/>
            <w:vMerge w:val="continue"/>
            <w:tcBorders>
              <w:tl2br w:val="nil"/>
              <w:tr2bl w:val="nil"/>
            </w:tcBorders>
            <w:vAlign w:val="center"/>
          </w:tcPr>
          <w:p w14:paraId="730C4779">
            <w:pPr>
              <w:jc w:val="center"/>
              <w:rPr>
                <w:rFonts w:ascii="宋体" w:cs="宋体"/>
                <w:sz w:val="20"/>
              </w:rPr>
            </w:pPr>
          </w:p>
        </w:tc>
        <w:tc>
          <w:tcPr>
            <w:tcW w:w="759" w:type="dxa"/>
            <w:gridSpan w:val="2"/>
            <w:tcBorders>
              <w:tl2br w:val="nil"/>
              <w:tr2bl w:val="nil"/>
            </w:tcBorders>
            <w:vAlign w:val="center"/>
          </w:tcPr>
          <w:p w14:paraId="3B8D0BE6">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872" w:type="dxa"/>
            <w:tcBorders>
              <w:tl2br w:val="nil"/>
              <w:tr2bl w:val="nil"/>
            </w:tcBorders>
            <w:vAlign w:val="center"/>
          </w:tcPr>
          <w:p w14:paraId="1751BA7A">
            <w:pPr>
              <w:widowControl/>
              <w:jc w:val="left"/>
              <w:textAlignment w:val="center"/>
              <w:rPr>
                <w:rFonts w:ascii="宋体" w:cs="宋体"/>
                <w:sz w:val="20"/>
              </w:rPr>
            </w:pPr>
            <w:r>
              <w:rPr>
                <w:rFonts w:hint="eastAsia" w:ascii="宋体" w:hAnsi="宋体" w:eastAsia="宋体" w:cs="宋体"/>
                <w:color w:val="000000"/>
                <w:kern w:val="0"/>
                <w:sz w:val="20"/>
                <w:szCs w:val="20"/>
              </w:rPr>
              <w:t>指标1：消除安全隐患、美化校园环节</w:t>
            </w:r>
          </w:p>
        </w:tc>
        <w:tc>
          <w:tcPr>
            <w:tcW w:w="4228" w:type="dxa"/>
            <w:gridSpan w:val="2"/>
            <w:tcBorders>
              <w:tl2br w:val="nil"/>
              <w:tr2bl w:val="nil"/>
            </w:tcBorders>
            <w:vAlign w:val="center"/>
          </w:tcPr>
          <w:p w14:paraId="645E34EC">
            <w:pPr>
              <w:widowControl/>
              <w:jc w:val="center"/>
              <w:textAlignment w:val="center"/>
              <w:rPr>
                <w:rFonts w:ascii="宋体" w:cs="宋体"/>
                <w:sz w:val="20"/>
              </w:rPr>
            </w:pPr>
            <w:r>
              <w:rPr>
                <w:rFonts w:hint="eastAsia" w:ascii="宋体" w:hAnsi="宋体" w:eastAsia="宋体" w:cs="宋体"/>
                <w:color w:val="000000"/>
                <w:kern w:val="0"/>
                <w:sz w:val="20"/>
                <w:szCs w:val="20"/>
              </w:rPr>
              <w:t>努力打造安全、美化的校园环境</w:t>
            </w:r>
          </w:p>
        </w:tc>
      </w:tr>
      <w:tr w14:paraId="326D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1E990879">
            <w:pPr>
              <w:jc w:val="center"/>
              <w:rPr>
                <w:rFonts w:ascii="宋体" w:cs="宋体"/>
                <w:sz w:val="20"/>
              </w:rPr>
            </w:pPr>
          </w:p>
        </w:tc>
        <w:tc>
          <w:tcPr>
            <w:tcW w:w="723" w:type="dxa"/>
            <w:vMerge w:val="continue"/>
            <w:tcBorders>
              <w:tl2br w:val="nil"/>
              <w:tr2bl w:val="nil"/>
            </w:tcBorders>
            <w:vAlign w:val="center"/>
          </w:tcPr>
          <w:p w14:paraId="504A0E9D">
            <w:pPr>
              <w:jc w:val="center"/>
              <w:rPr>
                <w:rFonts w:ascii="宋体" w:cs="宋体"/>
                <w:sz w:val="20"/>
              </w:rPr>
            </w:pPr>
          </w:p>
        </w:tc>
        <w:tc>
          <w:tcPr>
            <w:tcW w:w="759" w:type="dxa"/>
            <w:gridSpan w:val="2"/>
            <w:tcBorders>
              <w:tl2br w:val="nil"/>
              <w:tr2bl w:val="nil"/>
            </w:tcBorders>
            <w:vAlign w:val="center"/>
          </w:tcPr>
          <w:p w14:paraId="76F22C32">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757FC30A">
            <w:pPr>
              <w:widowControl/>
              <w:jc w:val="center"/>
              <w:textAlignment w:val="center"/>
              <w:rPr>
                <w:rFonts w:ascii="宋体" w:hAnsi="宋体" w:eastAsia="宋体" w:cs="宋体"/>
                <w:sz w:val="20"/>
              </w:rPr>
            </w:pPr>
            <w:r>
              <w:rPr>
                <w:rFonts w:hint="eastAsia" w:ascii="宋体" w:hAnsi="宋体" w:eastAsia="宋体" w:cs="宋体"/>
                <w:color w:val="000000"/>
                <w:kern w:val="0"/>
                <w:sz w:val="20"/>
                <w:szCs w:val="20"/>
              </w:rPr>
              <w:t>指标1：保障教育教学工作开展</w:t>
            </w:r>
          </w:p>
        </w:tc>
        <w:tc>
          <w:tcPr>
            <w:tcW w:w="4228" w:type="dxa"/>
            <w:gridSpan w:val="2"/>
            <w:tcBorders>
              <w:tl2br w:val="nil"/>
              <w:tr2bl w:val="nil"/>
            </w:tcBorders>
            <w:vAlign w:val="center"/>
          </w:tcPr>
          <w:p w14:paraId="1EEB601A">
            <w:pPr>
              <w:widowControl/>
              <w:jc w:val="center"/>
              <w:textAlignment w:val="center"/>
              <w:rPr>
                <w:rFonts w:ascii="宋体" w:cs="宋体"/>
                <w:sz w:val="20"/>
              </w:rPr>
            </w:pPr>
            <w:r>
              <w:rPr>
                <w:rFonts w:hint="eastAsia" w:ascii="宋体" w:hAnsi="宋体" w:eastAsia="宋体" w:cs="宋体"/>
                <w:color w:val="000000"/>
                <w:kern w:val="0"/>
                <w:sz w:val="20"/>
                <w:szCs w:val="20"/>
              </w:rPr>
              <w:t>有效保障教育教学工作开展</w:t>
            </w:r>
          </w:p>
        </w:tc>
      </w:tr>
      <w:tr w14:paraId="4CBC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B1380E9">
            <w:pPr>
              <w:jc w:val="center"/>
              <w:rPr>
                <w:rFonts w:ascii="宋体" w:cs="宋体"/>
                <w:sz w:val="20"/>
              </w:rPr>
            </w:pPr>
          </w:p>
        </w:tc>
        <w:tc>
          <w:tcPr>
            <w:tcW w:w="723" w:type="dxa"/>
            <w:tcBorders>
              <w:tl2br w:val="nil"/>
              <w:tr2bl w:val="nil"/>
            </w:tcBorders>
            <w:vAlign w:val="center"/>
          </w:tcPr>
          <w:p w14:paraId="647DBEB7">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65E050B">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06688DE8">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服务对象满意度</w:t>
            </w:r>
          </w:p>
        </w:tc>
        <w:tc>
          <w:tcPr>
            <w:tcW w:w="4228" w:type="dxa"/>
            <w:gridSpan w:val="2"/>
            <w:tcBorders>
              <w:tl2br w:val="nil"/>
              <w:tr2bl w:val="nil"/>
            </w:tcBorders>
            <w:vAlign w:val="center"/>
          </w:tcPr>
          <w:p w14:paraId="2906CA07">
            <w:pPr>
              <w:jc w:val="center"/>
              <w:rPr>
                <w:rFonts w:ascii="宋体" w:cs="宋体"/>
                <w:sz w:val="20"/>
              </w:rPr>
            </w:pPr>
            <w:r>
              <w:rPr>
                <w:rFonts w:hint="eastAsia"/>
                <w:sz w:val="20"/>
                <w:szCs w:val="20"/>
              </w:rPr>
              <w:t>≥95%</w:t>
            </w:r>
          </w:p>
        </w:tc>
      </w:tr>
    </w:tbl>
    <w:p w14:paraId="4EC81E4E">
      <w:pPr>
        <w:rPr>
          <w:rFonts w:hint="eastAsia" w:ascii="TimesNewRoman" w:hAnsi="TimesNewRoman" w:eastAsia="仿宋_GB2312" w:cs="TimesNewRoman"/>
          <w:kern w:val="0"/>
          <w:sz w:val="32"/>
          <w:szCs w:val="32"/>
        </w:rPr>
      </w:pPr>
    </w:p>
    <w:p w14:paraId="465D008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2D9D492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为非参照公务员法管理的事业单位，按照部门预算机关运行经费口径，2024年无机关运行经费财政拨款预算。</w:t>
      </w:r>
    </w:p>
    <w:p w14:paraId="081446F8">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46B2923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2024年政府采购预算</w:t>
      </w:r>
      <w:r>
        <w:rPr>
          <w:rFonts w:hint="eastAsia" w:ascii="TimesNewRoman" w:hAnsi="TimesNewRoman" w:eastAsia="仿宋_GB2312" w:cs="TimesNewRoman"/>
          <w:kern w:val="0"/>
          <w:sz w:val="32"/>
          <w:szCs w:val="32"/>
          <w:lang w:val="en-US" w:eastAsia="zh-CN"/>
        </w:rPr>
        <w:t>2.7</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2.7</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F7D2A45">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0F6BE0F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截至2023年12月31日，</w:t>
      </w: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w:t>
      </w:r>
    </w:p>
    <w:p w14:paraId="3D89CEF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2024年单位预算安排购置公务用车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787D5699">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099114C9">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2024年，</w:t>
      </w:r>
      <w:r>
        <w:rPr>
          <w:rFonts w:hint="eastAsia" w:ascii="TimesNewRoman" w:hAnsi="TimesNewRoman" w:eastAsia="仿宋_GB2312" w:cs="TimesNewRoman"/>
          <w:bCs/>
          <w:sz w:val="32"/>
          <w:szCs w:val="32"/>
        </w:rPr>
        <w:t>淮北市首府实验小学</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个项目实行了绩效目标管理，涉及一般公共预算当年财政拨款</w:t>
      </w:r>
      <w:r>
        <w:rPr>
          <w:rFonts w:hint="eastAsia" w:ascii="TimesNewRoman" w:hAnsi="TimesNewRoman" w:eastAsia="仿宋_GB2312" w:cs="TimesNewRoman"/>
          <w:kern w:val="0"/>
          <w:sz w:val="32"/>
          <w:szCs w:val="32"/>
          <w:lang w:val="en-US" w:eastAsia="zh-CN"/>
        </w:rPr>
        <w:t>154.44</w:t>
      </w:r>
      <w:r>
        <w:rPr>
          <w:rFonts w:hint="eastAsia" w:ascii="TimesNewRoman" w:hAnsi="TimesNewRoman" w:eastAsia="仿宋_GB2312" w:cs="TimesNewRoman"/>
          <w:kern w:val="0"/>
          <w:sz w:val="32"/>
          <w:szCs w:val="32"/>
        </w:rPr>
        <w:t>万元、政府性基金预算当年财政拨款</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万元、财政专户管理资金当年安排</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4E490B58">
      <w:pPr>
        <w:pStyle w:val="4"/>
        <w:adjustRightInd w:val="0"/>
        <w:snapToGrid w:val="0"/>
        <w:spacing w:line="560" w:lineRule="exact"/>
        <w:jc w:val="center"/>
        <w:rPr>
          <w:rFonts w:ascii="TimesNewRoman" w:hAnsi="TimesNewRoman" w:eastAsia="黑体" w:cs="TimesNewRoman"/>
          <w:bCs/>
          <w:sz w:val="36"/>
          <w:szCs w:val="36"/>
        </w:rPr>
      </w:pPr>
    </w:p>
    <w:p w14:paraId="133B169E">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5496B6A6"/>
    <w:p w14:paraId="1E5CD10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566AC52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634FE07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43AF56B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7CB804A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25053C1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6ADBC7E7">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16ABF68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786DE874">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32C832AD">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B2F737D"/>
    <w:p w14:paraId="1C4B801A"/>
    <w:p w14:paraId="2CBB8862"/>
    <w:p w14:paraId="4219779A"/>
    <w:p w14:paraId="007AA6A4"/>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c0ZTJlNWFlOTg1NTQ0ZTRjYTA0M2U1YzEwZWFlZjMifQ=="/>
  </w:docVars>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7EE5585"/>
    <w:rsid w:val="193C7F37"/>
    <w:rsid w:val="21F20BF7"/>
    <w:rsid w:val="2F4F34BC"/>
    <w:rsid w:val="47212854"/>
    <w:rsid w:val="4D2F00C3"/>
    <w:rsid w:val="57622101"/>
    <w:rsid w:val="5DEF7F2E"/>
    <w:rsid w:val="5E8E0310"/>
    <w:rsid w:val="61214448"/>
    <w:rsid w:val="63BC4F94"/>
    <w:rsid w:val="6FE82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2714</Words>
  <Characters>3288</Characters>
  <Lines>46</Lines>
  <Paragraphs>13</Paragraphs>
  <TotalTime>5</TotalTime>
  <ScaleCrop>false</ScaleCrop>
  <LinksUpToDate>false</LinksUpToDate>
  <CharactersWithSpaces>3340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李昱辰</cp:lastModifiedBy>
  <dcterms:modified xsi:type="dcterms:W3CDTF">2024-12-18T08:23:42Z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4BD5D50B432D4222A21DCF8225DD664C_12</vt:lpwstr>
  </property>
</Properties>
</file>