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华文中宋" w:hAnsi="华文中宋" w:eastAsia="华文中宋" w:cs="华文中宋"/>
          <w:b/>
          <w:sz w:val="52"/>
          <w:szCs w:val="84"/>
        </w:rPr>
      </w:pPr>
    </w:p>
    <w:p>
      <w:pPr>
        <w:adjustRightInd w:val="0"/>
        <w:snapToGrid w:val="0"/>
        <w:spacing w:line="360" w:lineRule="auto"/>
        <w:jc w:val="center"/>
        <w:rPr>
          <w:rFonts w:ascii="华文中宋" w:hAnsi="华文中宋" w:eastAsia="华文中宋" w:cs="华文中宋"/>
          <w:b/>
          <w:sz w:val="48"/>
          <w:szCs w:val="48"/>
        </w:rPr>
      </w:pPr>
      <w:r>
        <w:rPr>
          <w:rFonts w:hint="eastAsia" w:ascii="华文中宋" w:hAnsi="华文中宋" w:eastAsia="华文中宋" w:cs="华文中宋"/>
          <w:b/>
          <w:sz w:val="48"/>
          <w:szCs w:val="48"/>
        </w:rPr>
        <w:t>淮北市第十二中学202</w:t>
      </w:r>
      <w:r>
        <w:rPr>
          <w:rFonts w:ascii="华文中宋" w:hAnsi="华文中宋" w:eastAsia="华文中宋" w:cs="华文中宋"/>
          <w:b/>
          <w:sz w:val="48"/>
          <w:szCs w:val="48"/>
        </w:rPr>
        <w:t>1</w:t>
      </w:r>
      <w:r>
        <w:rPr>
          <w:rFonts w:hint="eastAsia" w:ascii="华文中宋" w:hAnsi="华文中宋" w:eastAsia="华文中宋" w:cs="华文中宋"/>
          <w:b/>
          <w:sz w:val="48"/>
          <w:szCs w:val="48"/>
        </w:rPr>
        <w:t>年度部门决算</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7"/>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rPr>
        <w:t>202</w:t>
      </w:r>
      <w:r>
        <w:rPr>
          <w:rFonts w:ascii="黑体" w:hAnsi="黑体" w:eastAsia="黑体"/>
          <w:bCs/>
          <w:sz w:val="44"/>
          <w:szCs w:val="44"/>
        </w:rPr>
        <w:t>2</w:t>
      </w:r>
      <w:r>
        <w:rPr>
          <w:rFonts w:hint="eastAsia" w:ascii="黑体" w:hAnsi="黑体" w:eastAsia="黑体"/>
          <w:bCs/>
          <w:sz w:val="44"/>
          <w:szCs w:val="44"/>
        </w:rPr>
        <w:t>年</w:t>
      </w:r>
      <w:r>
        <w:rPr>
          <w:rFonts w:hint="eastAsia" w:ascii="黑体" w:hAnsi="黑体" w:eastAsia="黑体"/>
          <w:bCs/>
          <w:sz w:val="44"/>
          <w:szCs w:val="44"/>
          <w:highlight w:val="none"/>
        </w:rPr>
        <w:t>7</w:t>
      </w:r>
      <w:r>
        <w:rPr>
          <w:rFonts w:hint="eastAsia" w:ascii="黑体" w:hAnsi="黑体" w:eastAsia="黑体"/>
          <w:bCs/>
          <w:sz w:val="44"/>
          <w:szCs w:val="44"/>
        </w:rPr>
        <w:t>月</w:t>
      </w:r>
    </w:p>
    <w:p>
      <w:pPr>
        <w:pStyle w:val="7"/>
        <w:adjustRightInd w:val="0"/>
        <w:snapToGrid w:val="0"/>
        <w:spacing w:before="0" w:beforeAutospacing="0" w:after="0" w:afterAutospacing="0" w:line="360" w:lineRule="auto"/>
        <w:jc w:val="center"/>
        <w:rPr>
          <w:rFonts w:ascii="黑体" w:hAnsi="黑体" w:eastAsia="黑体"/>
          <w:bCs/>
          <w:sz w:val="44"/>
          <w:szCs w:val="44"/>
        </w:rPr>
      </w:pPr>
      <w:r>
        <w:rPr>
          <w:rFonts w:hint="eastAsia"/>
          <w:b/>
          <w:sz w:val="48"/>
          <w:szCs w:val="48"/>
        </w:rPr>
        <w:t>202</w:t>
      </w:r>
      <w:r>
        <w:rPr>
          <w:b/>
          <w:sz w:val="48"/>
          <w:szCs w:val="48"/>
        </w:rPr>
        <w:t>1</w:t>
      </w:r>
      <w:r>
        <w:rPr>
          <w:rFonts w:hint="eastAsia"/>
          <w:b/>
          <w:sz w:val="48"/>
          <w:szCs w:val="48"/>
        </w:rPr>
        <w:t>年部门决算公开目录</w:t>
      </w:r>
    </w:p>
    <w:p>
      <w:pPr>
        <w:jc w:val="center"/>
        <w:rPr>
          <w:rFonts w:ascii="宋体" w:hAnsi="宋体" w:eastAsia="宋体"/>
          <w:b/>
          <w:sz w:val="36"/>
          <w:szCs w:val="36"/>
        </w:rPr>
      </w:pPr>
    </w:p>
    <w:p>
      <w:pPr>
        <w:rPr>
          <w:rFonts w:ascii="仿宋_GB2312" w:hAnsi="宋体"/>
          <w:b/>
          <w:szCs w:val="32"/>
        </w:rPr>
      </w:pPr>
      <w:r>
        <w:rPr>
          <w:rFonts w:hint="eastAsia" w:ascii="仿宋_GB2312" w:hAnsi="宋体"/>
          <w:b/>
          <w:szCs w:val="32"/>
        </w:rPr>
        <w:t>第一部分 淮北市第十二中学202</w:t>
      </w:r>
      <w:r>
        <w:rPr>
          <w:rFonts w:ascii="仿宋_GB2312" w:hAnsi="宋体"/>
          <w:b/>
          <w:szCs w:val="32"/>
        </w:rPr>
        <w:t>1</w:t>
      </w:r>
      <w:r>
        <w:rPr>
          <w:rFonts w:hint="eastAsia" w:ascii="仿宋_GB2312" w:hAnsi="宋体"/>
          <w:b/>
          <w:szCs w:val="32"/>
        </w:rPr>
        <w:t>年部门决算情况说明</w:t>
      </w:r>
    </w:p>
    <w:p>
      <w:pPr>
        <w:spacing w:line="520" w:lineRule="exact"/>
        <w:rPr>
          <w:rFonts w:ascii="仿宋_GB2312" w:hAnsi="宋体"/>
          <w:bCs/>
          <w:szCs w:val="32"/>
        </w:rPr>
      </w:pPr>
      <w:r>
        <w:rPr>
          <w:rFonts w:hint="eastAsia" w:ascii="仿宋_GB2312" w:hAnsi="宋体"/>
          <w:bCs/>
          <w:szCs w:val="32"/>
        </w:rPr>
        <w:t>一、部门职责</w:t>
      </w:r>
    </w:p>
    <w:p>
      <w:pPr>
        <w:spacing w:line="520" w:lineRule="exact"/>
        <w:rPr>
          <w:rFonts w:ascii="仿宋_GB2312" w:hAnsi="宋体"/>
          <w:bCs/>
          <w:szCs w:val="32"/>
        </w:rPr>
      </w:pPr>
      <w:r>
        <w:rPr>
          <w:rFonts w:hint="eastAsia" w:ascii="仿宋_GB2312" w:hAnsi="宋体"/>
          <w:bCs/>
          <w:szCs w:val="32"/>
        </w:rPr>
        <w:t>二、机构设置</w:t>
      </w:r>
    </w:p>
    <w:p>
      <w:pPr>
        <w:spacing w:line="520" w:lineRule="exact"/>
        <w:rPr>
          <w:rFonts w:ascii="仿宋_GB2312" w:hAnsi="宋体"/>
          <w:bCs/>
          <w:szCs w:val="32"/>
        </w:rPr>
      </w:pPr>
      <w:r>
        <w:rPr>
          <w:rFonts w:hint="eastAsia" w:ascii="仿宋_GB2312" w:hAnsi="宋体"/>
          <w:bCs/>
          <w:szCs w:val="32"/>
        </w:rPr>
        <w:t>三、淮北市第十二中学202</w:t>
      </w:r>
      <w:r>
        <w:rPr>
          <w:rFonts w:ascii="仿宋_GB2312" w:hAnsi="宋体"/>
          <w:bCs/>
          <w:szCs w:val="32"/>
        </w:rPr>
        <w:t>1</w:t>
      </w:r>
      <w:r>
        <w:rPr>
          <w:rFonts w:hint="eastAsia" w:ascii="仿宋_GB2312" w:hAnsi="宋体"/>
          <w:bCs/>
          <w:szCs w:val="32"/>
        </w:rPr>
        <w:t>年度部门决算说明</w:t>
      </w:r>
    </w:p>
    <w:p>
      <w:pPr>
        <w:spacing w:line="520" w:lineRule="exact"/>
        <w:rPr>
          <w:rFonts w:ascii="仿宋_GB2312" w:hAnsi="宋体"/>
          <w:bCs/>
          <w:szCs w:val="32"/>
        </w:rPr>
      </w:pPr>
      <w:r>
        <w:rPr>
          <w:rFonts w:hint="eastAsia" w:ascii="仿宋_GB2312" w:hAnsi="宋体"/>
          <w:bCs/>
          <w:szCs w:val="32"/>
        </w:rPr>
        <w:t>（一）收入支出决算总体情况说明</w:t>
      </w:r>
    </w:p>
    <w:p>
      <w:pPr>
        <w:spacing w:line="520" w:lineRule="exact"/>
        <w:rPr>
          <w:rFonts w:ascii="仿宋_GB2312" w:hAnsi="宋体"/>
          <w:bCs/>
          <w:szCs w:val="32"/>
        </w:rPr>
      </w:pPr>
      <w:r>
        <w:rPr>
          <w:rFonts w:hint="eastAsia" w:ascii="仿宋_GB2312" w:hAnsi="宋体"/>
          <w:bCs/>
          <w:szCs w:val="32"/>
        </w:rPr>
        <w:t>（二）收入决算情况说明</w:t>
      </w:r>
    </w:p>
    <w:p>
      <w:pPr>
        <w:spacing w:line="520" w:lineRule="exact"/>
        <w:rPr>
          <w:rFonts w:ascii="仿宋_GB2312" w:hAnsi="宋体"/>
          <w:bCs/>
          <w:szCs w:val="32"/>
        </w:rPr>
      </w:pPr>
      <w:r>
        <w:rPr>
          <w:rFonts w:hint="eastAsia" w:ascii="仿宋_GB2312" w:hAnsi="宋体"/>
          <w:bCs/>
          <w:szCs w:val="32"/>
        </w:rPr>
        <w:t>（三）支出决算情况说明</w:t>
      </w:r>
    </w:p>
    <w:p>
      <w:pPr>
        <w:spacing w:line="520" w:lineRule="exact"/>
        <w:rPr>
          <w:rFonts w:ascii="仿宋_GB2312" w:hAnsi="宋体"/>
          <w:bCs/>
          <w:szCs w:val="32"/>
        </w:rPr>
      </w:pPr>
      <w:r>
        <w:rPr>
          <w:rFonts w:hint="eastAsia" w:ascii="仿宋_GB2312" w:hAnsi="宋体"/>
          <w:bCs/>
          <w:szCs w:val="32"/>
        </w:rPr>
        <w:t>（四）财政拨款收入支出决算总体情况说明</w:t>
      </w:r>
    </w:p>
    <w:p>
      <w:pPr>
        <w:spacing w:line="520" w:lineRule="exact"/>
        <w:rPr>
          <w:rFonts w:ascii="仿宋_GB2312" w:hAnsi="宋体"/>
          <w:bCs/>
          <w:szCs w:val="32"/>
        </w:rPr>
      </w:pPr>
      <w:r>
        <w:rPr>
          <w:rFonts w:hint="eastAsia" w:ascii="仿宋_GB2312" w:hAnsi="宋体"/>
          <w:bCs/>
          <w:szCs w:val="32"/>
        </w:rPr>
        <w:t>（五）一般公共预算财政拨款支出决算情况说明</w:t>
      </w:r>
    </w:p>
    <w:p>
      <w:pPr>
        <w:spacing w:line="520" w:lineRule="exact"/>
        <w:rPr>
          <w:rFonts w:ascii="仿宋_GB2312" w:hAnsi="宋体"/>
          <w:bCs/>
          <w:szCs w:val="32"/>
        </w:rPr>
      </w:pPr>
      <w:r>
        <w:rPr>
          <w:rFonts w:hint="eastAsia" w:ascii="仿宋_GB2312" w:hAnsi="宋体"/>
          <w:bCs/>
          <w:szCs w:val="32"/>
        </w:rPr>
        <w:t>（六）一般公共预算财政拨款基本支出决算情况说明</w:t>
      </w:r>
    </w:p>
    <w:p>
      <w:pPr>
        <w:spacing w:line="520" w:lineRule="exact"/>
        <w:rPr>
          <w:rFonts w:ascii="仿宋_GB2312" w:hAnsi="宋体"/>
          <w:bCs/>
          <w:szCs w:val="32"/>
        </w:rPr>
      </w:pPr>
      <w:r>
        <w:rPr>
          <w:rFonts w:hint="eastAsia" w:ascii="仿宋_GB2312" w:hAnsi="宋体"/>
          <w:bCs/>
          <w:szCs w:val="32"/>
        </w:rPr>
        <w:t>（七）政府性基金预算财政拨款收入支出决算情况说明</w:t>
      </w:r>
    </w:p>
    <w:p>
      <w:pPr>
        <w:spacing w:line="520" w:lineRule="exact"/>
        <w:rPr>
          <w:rFonts w:ascii="仿宋_GB2312" w:hAnsi="宋体"/>
          <w:bCs/>
          <w:szCs w:val="32"/>
        </w:rPr>
      </w:pPr>
      <w:r>
        <w:rPr>
          <w:rFonts w:hint="eastAsia" w:ascii="仿宋_GB2312" w:hAnsi="宋体"/>
          <w:bCs/>
          <w:szCs w:val="32"/>
        </w:rPr>
        <w:t>（八）国有资本经营预算财政拨款支出决算情况说明</w:t>
      </w:r>
    </w:p>
    <w:p>
      <w:pPr>
        <w:spacing w:line="520" w:lineRule="exact"/>
        <w:rPr>
          <w:rFonts w:ascii="仿宋_GB2312" w:hAnsi="宋体"/>
          <w:bCs/>
          <w:szCs w:val="32"/>
        </w:rPr>
      </w:pPr>
      <w:r>
        <w:rPr>
          <w:rFonts w:hint="eastAsia" w:ascii="仿宋_GB2312" w:hAnsi="宋体"/>
          <w:bCs/>
          <w:szCs w:val="32"/>
        </w:rPr>
        <w:t>（九）其他重要事项情况说明</w:t>
      </w:r>
    </w:p>
    <w:p>
      <w:pPr>
        <w:spacing w:line="520" w:lineRule="exact"/>
        <w:rPr>
          <w:rFonts w:ascii="仿宋_GB2312" w:hAnsi="宋体"/>
          <w:bCs/>
          <w:szCs w:val="32"/>
        </w:rPr>
      </w:pPr>
      <w:r>
        <w:rPr>
          <w:rFonts w:hint="eastAsia" w:ascii="仿宋_GB2312" w:hAnsi="宋体"/>
          <w:bCs/>
          <w:szCs w:val="32"/>
        </w:rPr>
        <w:t>四、名词解释</w:t>
      </w:r>
    </w:p>
    <w:p>
      <w:pPr>
        <w:spacing w:line="520" w:lineRule="exact"/>
        <w:rPr>
          <w:rFonts w:ascii="仿宋_GB2312" w:hAnsi="宋体"/>
          <w:b/>
          <w:szCs w:val="32"/>
        </w:rPr>
      </w:pPr>
      <w:r>
        <w:rPr>
          <w:rFonts w:hint="eastAsia" w:ascii="仿宋_GB2312" w:hAnsi="宋体"/>
          <w:b/>
          <w:szCs w:val="32"/>
        </w:rPr>
        <w:t>第二部分 淮北市第十二中学202</w:t>
      </w:r>
      <w:r>
        <w:rPr>
          <w:rFonts w:ascii="仿宋_GB2312" w:hAnsi="宋体"/>
          <w:b/>
          <w:szCs w:val="32"/>
        </w:rPr>
        <w:t>1</w:t>
      </w:r>
      <w:r>
        <w:rPr>
          <w:rFonts w:hint="eastAsia" w:ascii="仿宋_GB2312" w:hAnsi="宋体"/>
          <w:b/>
          <w:szCs w:val="32"/>
        </w:rPr>
        <w:t>年部门决算公开报表</w:t>
      </w:r>
    </w:p>
    <w:p>
      <w:pPr>
        <w:spacing w:line="520" w:lineRule="exact"/>
        <w:rPr>
          <w:rFonts w:ascii="仿宋_GB2312" w:hAnsi="宋体"/>
          <w:bCs/>
          <w:szCs w:val="32"/>
        </w:rPr>
      </w:pPr>
      <w:r>
        <w:rPr>
          <w:rFonts w:hint="eastAsia" w:ascii="仿宋_GB2312" w:hAnsi="宋体"/>
          <w:bCs/>
          <w:szCs w:val="32"/>
        </w:rPr>
        <w:t>一、收入支出决算总表</w:t>
      </w:r>
    </w:p>
    <w:p>
      <w:pPr>
        <w:spacing w:line="520" w:lineRule="exact"/>
        <w:rPr>
          <w:rFonts w:ascii="仿宋_GB2312" w:hAnsi="宋体"/>
          <w:bCs/>
          <w:szCs w:val="32"/>
        </w:rPr>
      </w:pPr>
      <w:r>
        <w:rPr>
          <w:rFonts w:hint="eastAsia" w:ascii="仿宋_GB2312" w:hAnsi="宋体"/>
          <w:bCs/>
          <w:szCs w:val="32"/>
        </w:rPr>
        <w:t>二、收入决算表</w:t>
      </w:r>
    </w:p>
    <w:p>
      <w:pPr>
        <w:spacing w:line="520" w:lineRule="exact"/>
        <w:rPr>
          <w:rFonts w:ascii="仿宋_GB2312" w:hAnsi="宋体"/>
          <w:bCs/>
          <w:szCs w:val="32"/>
        </w:rPr>
      </w:pPr>
      <w:r>
        <w:rPr>
          <w:rFonts w:hint="eastAsia" w:ascii="仿宋_GB2312" w:hAnsi="宋体"/>
          <w:bCs/>
          <w:szCs w:val="32"/>
        </w:rPr>
        <w:t>三、支出决算表</w:t>
      </w:r>
    </w:p>
    <w:p>
      <w:pPr>
        <w:spacing w:line="520" w:lineRule="exact"/>
        <w:rPr>
          <w:rFonts w:ascii="仿宋_GB2312" w:hAnsi="宋体"/>
          <w:bCs/>
          <w:szCs w:val="32"/>
        </w:rPr>
      </w:pPr>
      <w:r>
        <w:rPr>
          <w:rFonts w:hint="eastAsia" w:ascii="仿宋_GB2312" w:hAnsi="宋体"/>
          <w:bCs/>
          <w:szCs w:val="32"/>
        </w:rPr>
        <w:t>四、财政拨款收入支出决算总表</w:t>
      </w:r>
    </w:p>
    <w:p>
      <w:pPr>
        <w:spacing w:line="520" w:lineRule="exact"/>
        <w:rPr>
          <w:rFonts w:ascii="仿宋_GB2312" w:hAnsi="宋体"/>
          <w:bCs/>
          <w:szCs w:val="32"/>
        </w:rPr>
      </w:pPr>
      <w:r>
        <w:rPr>
          <w:rFonts w:hint="eastAsia" w:ascii="仿宋_GB2312" w:hAnsi="宋体"/>
          <w:bCs/>
          <w:szCs w:val="32"/>
        </w:rPr>
        <w:t>五、一般公共预算财政拨款支出决算表</w:t>
      </w:r>
    </w:p>
    <w:p>
      <w:pPr>
        <w:spacing w:line="520" w:lineRule="exact"/>
        <w:rPr>
          <w:rFonts w:ascii="仿宋_GB2312" w:hAnsi="宋体"/>
          <w:bCs/>
          <w:szCs w:val="32"/>
        </w:rPr>
      </w:pPr>
      <w:r>
        <w:rPr>
          <w:rFonts w:hint="eastAsia" w:ascii="仿宋_GB2312" w:hAnsi="宋体"/>
          <w:bCs/>
          <w:szCs w:val="32"/>
        </w:rPr>
        <w:t>六、一般公共预算财政拨款基本支出决算表</w:t>
      </w:r>
    </w:p>
    <w:p>
      <w:pPr>
        <w:spacing w:line="520" w:lineRule="exact"/>
        <w:rPr>
          <w:rFonts w:ascii="仿宋_GB2312" w:hAnsi="宋体"/>
          <w:bCs/>
          <w:szCs w:val="32"/>
        </w:rPr>
      </w:pPr>
      <w:r>
        <w:rPr>
          <w:rFonts w:hint="eastAsia" w:ascii="仿宋_GB2312" w:hAnsi="宋体"/>
          <w:bCs/>
          <w:szCs w:val="32"/>
        </w:rPr>
        <w:t>七、政府性基金预算财政拨款收入支出决算表</w:t>
      </w:r>
    </w:p>
    <w:p>
      <w:pPr>
        <w:spacing w:line="520" w:lineRule="exact"/>
        <w:rPr>
          <w:rFonts w:ascii="仿宋_GB2312" w:hAnsi="宋体"/>
          <w:bCs/>
          <w:szCs w:val="32"/>
        </w:rPr>
      </w:pPr>
      <w:r>
        <w:rPr>
          <w:rFonts w:hint="eastAsia" w:ascii="仿宋_GB2312" w:hAnsi="宋体"/>
          <w:bCs/>
          <w:szCs w:val="32"/>
        </w:rPr>
        <w:t>八、国有资本经营预算财政拨款支出决算表</w:t>
      </w:r>
    </w:p>
    <w:p>
      <w:pPr>
        <w:spacing w:line="520" w:lineRule="exact"/>
        <w:rPr>
          <w:rFonts w:ascii="仿宋_GB2312" w:hAnsi="宋体"/>
          <w:bCs/>
          <w:szCs w:val="32"/>
        </w:rPr>
      </w:pPr>
    </w:p>
    <w:p>
      <w:pPr>
        <w:spacing w:line="550" w:lineRule="exact"/>
        <w:jc w:val="center"/>
        <w:rPr>
          <w:rFonts w:ascii="宋体" w:hAnsi="宋体"/>
          <w:b/>
          <w:sz w:val="36"/>
          <w:szCs w:val="36"/>
        </w:rPr>
      </w:pPr>
      <w:r>
        <w:rPr>
          <w:rFonts w:hint="eastAsia" w:ascii="仿宋_GB2312" w:hAnsi="宋体"/>
          <w:b/>
          <w:szCs w:val="32"/>
        </w:rPr>
        <w:t>淮北市第十二中学</w:t>
      </w:r>
      <w:r>
        <w:rPr>
          <w:rFonts w:ascii="宋体" w:hAnsi="宋体"/>
          <w:b/>
          <w:sz w:val="36"/>
          <w:szCs w:val="36"/>
        </w:rPr>
        <w:t>20</w:t>
      </w:r>
      <w:r>
        <w:rPr>
          <w:rFonts w:hint="eastAsia" w:ascii="宋体" w:hAnsi="宋体"/>
          <w:b/>
          <w:sz w:val="36"/>
          <w:szCs w:val="36"/>
        </w:rPr>
        <w:t>2</w:t>
      </w:r>
      <w:r>
        <w:rPr>
          <w:rFonts w:ascii="宋体" w:hAnsi="宋体"/>
          <w:b/>
          <w:sz w:val="36"/>
          <w:szCs w:val="36"/>
        </w:rPr>
        <w:t>1年</w:t>
      </w:r>
      <w:r>
        <w:rPr>
          <w:rFonts w:hint="eastAsia" w:ascii="宋体" w:hAnsi="宋体"/>
          <w:b/>
          <w:sz w:val="36"/>
          <w:szCs w:val="36"/>
        </w:rPr>
        <w:t>度部门决算</w:t>
      </w:r>
      <w:r>
        <w:rPr>
          <w:rFonts w:ascii="宋体" w:hAnsi="宋体"/>
          <w:b/>
          <w:sz w:val="36"/>
          <w:szCs w:val="36"/>
        </w:rPr>
        <w:t>情况</w:t>
      </w:r>
    </w:p>
    <w:p>
      <w:pPr>
        <w:ind w:firstLine="628" w:firstLineChars="200"/>
        <w:rPr>
          <w:rFonts w:ascii="黑体" w:hAnsi="黑体" w:eastAsia="黑体"/>
          <w:szCs w:val="32"/>
        </w:rPr>
      </w:pPr>
    </w:p>
    <w:p>
      <w:pPr>
        <w:ind w:firstLine="628" w:firstLineChars="200"/>
        <w:rPr>
          <w:rFonts w:ascii="黑体" w:hAnsi="黑体" w:eastAsia="黑体"/>
          <w:szCs w:val="32"/>
        </w:rPr>
      </w:pPr>
      <w:r>
        <w:rPr>
          <w:rFonts w:hint="eastAsia" w:ascii="黑体" w:hAnsi="黑体" w:eastAsia="黑体"/>
          <w:szCs w:val="32"/>
        </w:rPr>
        <w:t>一、部门职责</w:t>
      </w:r>
    </w:p>
    <w:p>
      <w:pPr>
        <w:ind w:firstLine="628" w:firstLineChars="200"/>
        <w:rPr>
          <w:rFonts w:ascii="黑体" w:hAnsi="黑体" w:eastAsia="黑体"/>
          <w:szCs w:val="32"/>
        </w:rPr>
      </w:pPr>
      <w:r>
        <w:rPr>
          <w:rFonts w:hint="eastAsia" w:ascii="宋体" w:hAnsi="宋体"/>
          <w:color w:val="333333"/>
          <w:szCs w:val="32"/>
        </w:rPr>
        <w:t>淮北市十二中</w:t>
      </w:r>
      <w:r>
        <w:rPr>
          <w:rFonts w:ascii="宋体" w:hAnsi="宋体"/>
          <w:color w:val="333333"/>
          <w:szCs w:val="32"/>
        </w:rPr>
        <w:t>主要职能是：</w:t>
      </w:r>
      <w:r>
        <w:rPr>
          <w:rFonts w:hint="eastAsia" w:ascii="宋体" w:hAnsi="宋体"/>
          <w:color w:val="333333"/>
          <w:szCs w:val="32"/>
        </w:rPr>
        <w:t>贯彻党和国家教育方针，实施高中学历教育，促进基础教育发展。</w:t>
      </w:r>
    </w:p>
    <w:p>
      <w:pPr>
        <w:ind w:firstLine="628" w:firstLineChars="200"/>
        <w:rPr>
          <w:rFonts w:ascii="黑体" w:hAnsi="黑体" w:eastAsia="黑体"/>
          <w:szCs w:val="32"/>
        </w:rPr>
      </w:pPr>
      <w:r>
        <w:rPr>
          <w:rFonts w:hint="eastAsia" w:ascii="黑体" w:hAnsi="黑体" w:eastAsia="黑体"/>
          <w:szCs w:val="32"/>
        </w:rPr>
        <w:t>二、机构设置</w:t>
      </w:r>
    </w:p>
    <w:p>
      <w:pPr>
        <w:ind w:firstLine="628" w:firstLineChars="200"/>
        <w:rPr>
          <w:rFonts w:ascii="仿宋_GB2312" w:hAnsi="仿宋"/>
          <w:szCs w:val="32"/>
        </w:rPr>
      </w:pPr>
      <w:r>
        <w:rPr>
          <w:rFonts w:hint="eastAsia" w:ascii="仿宋_GB2312" w:hAnsi="仿宋"/>
          <w:szCs w:val="32"/>
        </w:rPr>
        <w:t>从决算单位构成看，淮北市第十二中学202</w:t>
      </w:r>
      <w:r>
        <w:rPr>
          <w:rFonts w:ascii="仿宋_GB2312" w:hAnsi="仿宋"/>
          <w:szCs w:val="32"/>
        </w:rPr>
        <w:t>1</w:t>
      </w:r>
      <w:r>
        <w:rPr>
          <w:rFonts w:hint="eastAsia" w:ascii="仿宋_GB2312" w:hAnsi="仿宋"/>
          <w:szCs w:val="32"/>
        </w:rPr>
        <w:t>年度部门决算包括淮北市第十二中学一户。</w:t>
      </w:r>
    </w:p>
    <w:p>
      <w:pPr>
        <w:ind w:firstLine="628" w:firstLineChars="200"/>
        <w:rPr>
          <w:rFonts w:ascii="仿宋_GB2312" w:hAnsi="仿宋"/>
          <w:szCs w:val="32"/>
        </w:rPr>
      </w:pPr>
      <w:r>
        <w:rPr>
          <w:rFonts w:hint="eastAsia" w:ascii="仿宋_GB2312" w:hAnsi="仿宋"/>
          <w:szCs w:val="32"/>
        </w:rPr>
        <w:t>纳入淮北市第十二中学202</w:t>
      </w:r>
      <w:r>
        <w:rPr>
          <w:rFonts w:ascii="仿宋_GB2312" w:hAnsi="仿宋"/>
          <w:szCs w:val="32"/>
        </w:rPr>
        <w:t>1</w:t>
      </w:r>
      <w:r>
        <w:rPr>
          <w:rFonts w:hint="eastAsia" w:ascii="仿宋_GB2312" w:hAnsi="仿宋"/>
          <w:szCs w:val="32"/>
        </w:rPr>
        <w:t>年度部门决算编制范围的二级单位共</w:t>
      </w:r>
      <w:r>
        <w:rPr>
          <w:rFonts w:ascii="仿宋_GB2312" w:hAnsi="仿宋"/>
          <w:szCs w:val="32"/>
        </w:rPr>
        <w:t>1</w:t>
      </w:r>
      <w:r>
        <w:rPr>
          <w:rFonts w:hint="eastAsia" w:ascii="仿宋_GB2312" w:hAnsi="仿宋"/>
          <w:szCs w:val="32"/>
        </w:rPr>
        <w:t>个，详细情况见下表：</w:t>
      </w:r>
    </w:p>
    <w:tbl>
      <w:tblPr>
        <w:tblStyle w:val="8"/>
        <w:tblW w:w="0" w:type="auto"/>
        <w:tblInd w:w="828" w:type="dxa"/>
        <w:shd w:val="clear" w:color="auto" w:fill="FFFFFF"/>
        <w:tblLayout w:type="fixed"/>
        <w:tblCellMar>
          <w:top w:w="0" w:type="dxa"/>
          <w:left w:w="0" w:type="dxa"/>
          <w:bottom w:w="0" w:type="dxa"/>
          <w:right w:w="0" w:type="dxa"/>
        </w:tblCellMar>
      </w:tblPr>
      <w:tblGrid>
        <w:gridCol w:w="1389"/>
        <w:gridCol w:w="5837"/>
      </w:tblGrid>
      <w:tr>
        <w:tblPrEx>
          <w:tblCellMar>
            <w:top w:w="0" w:type="dxa"/>
            <w:left w:w="0" w:type="dxa"/>
            <w:bottom w:w="0" w:type="dxa"/>
            <w:right w:w="0" w:type="dxa"/>
          </w:tblCellMar>
        </w:tblPrEx>
        <w:trPr>
          <w:trHeight w:val="397" w:hRule="exact"/>
        </w:trPr>
        <w:tc>
          <w:tcPr>
            <w:tcW w:w="13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序号</w:t>
            </w:r>
          </w:p>
        </w:tc>
        <w:tc>
          <w:tcPr>
            <w:tcW w:w="58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单位名称</w:t>
            </w:r>
          </w:p>
        </w:tc>
      </w:tr>
      <w:tr>
        <w:tblPrEx>
          <w:tblCellMar>
            <w:top w:w="0" w:type="dxa"/>
            <w:left w:w="0" w:type="dxa"/>
            <w:bottom w:w="0" w:type="dxa"/>
            <w:right w:w="0" w:type="dxa"/>
          </w:tblCellMar>
        </w:tblPrEx>
        <w:trPr>
          <w:trHeight w:val="397" w:hRule="exact"/>
        </w:trPr>
        <w:tc>
          <w:tcPr>
            <w:tcW w:w="13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cs="宋体"/>
                <w:sz w:val="24"/>
              </w:rPr>
            </w:pPr>
            <w:r>
              <w:rPr>
                <w:rFonts w:hint="eastAsia" w:ascii="宋体" w:hAnsi="宋体"/>
                <w:sz w:val="24"/>
              </w:rPr>
              <w:t>1</w:t>
            </w:r>
          </w:p>
        </w:tc>
        <w:tc>
          <w:tcPr>
            <w:tcW w:w="5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ascii="宋体" w:hAnsi="宋体"/>
                <w:sz w:val="24"/>
              </w:rPr>
            </w:pPr>
            <w:r>
              <w:rPr>
                <w:rFonts w:hint="eastAsia" w:ascii="仿宋_GB2312" w:hAnsi="仿宋"/>
                <w:sz w:val="24"/>
                <w:szCs w:val="24"/>
              </w:rPr>
              <w:t>淮北市第十二中学</w:t>
            </w:r>
          </w:p>
        </w:tc>
      </w:tr>
      <w:tr>
        <w:tblPrEx>
          <w:shd w:val="clear" w:color="auto" w:fill="FFFFFF"/>
          <w:tblCellMar>
            <w:top w:w="0" w:type="dxa"/>
            <w:left w:w="0" w:type="dxa"/>
            <w:bottom w:w="0" w:type="dxa"/>
            <w:right w:w="0" w:type="dxa"/>
          </w:tblCellMar>
        </w:tblPrEx>
        <w:trPr>
          <w:trHeight w:val="397" w:hRule="exact"/>
        </w:trPr>
        <w:tc>
          <w:tcPr>
            <w:tcW w:w="13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hAnsi="宋体" w:cs="宋体"/>
                <w:sz w:val="24"/>
              </w:rPr>
            </w:pPr>
          </w:p>
        </w:tc>
        <w:tc>
          <w:tcPr>
            <w:tcW w:w="5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ascii="宋体" w:hAnsi="宋体"/>
                <w:sz w:val="24"/>
              </w:rPr>
            </w:pPr>
          </w:p>
        </w:tc>
      </w:tr>
    </w:tbl>
    <w:p>
      <w:pPr>
        <w:ind w:firstLine="628" w:firstLineChars="200"/>
        <w:rPr>
          <w:rFonts w:ascii="黑体" w:hAnsi="黑体" w:eastAsia="黑体"/>
          <w:szCs w:val="32"/>
        </w:rPr>
      </w:pPr>
      <w:r>
        <w:rPr>
          <w:rFonts w:hint="eastAsia" w:ascii="黑体" w:hAnsi="黑体" w:eastAsia="黑体"/>
          <w:szCs w:val="32"/>
        </w:rPr>
        <w:t>三、淮北市第十二中学202</w:t>
      </w:r>
      <w:r>
        <w:rPr>
          <w:rFonts w:ascii="黑体" w:hAnsi="黑体" w:eastAsia="黑体"/>
          <w:szCs w:val="32"/>
        </w:rPr>
        <w:t>1</w:t>
      </w:r>
      <w:r>
        <w:rPr>
          <w:rFonts w:hint="eastAsia" w:ascii="黑体" w:hAnsi="黑体" w:eastAsia="黑体"/>
          <w:szCs w:val="32"/>
        </w:rPr>
        <w:t>年度部门决算情况说明</w:t>
      </w:r>
    </w:p>
    <w:p>
      <w:pPr>
        <w:ind w:firstLine="628" w:firstLineChars="200"/>
        <w:rPr>
          <w:rFonts w:ascii="黑体" w:hAnsi="黑体" w:eastAsia="黑体"/>
          <w:szCs w:val="32"/>
        </w:rPr>
      </w:pPr>
      <w:r>
        <w:rPr>
          <w:rFonts w:hint="eastAsia" w:ascii="黑体" w:hAnsi="黑体" w:eastAsia="黑体"/>
          <w:szCs w:val="32"/>
        </w:rPr>
        <w:t>（一）收入支出决算情况说明</w:t>
      </w:r>
    </w:p>
    <w:p>
      <w:pPr>
        <w:ind w:firstLine="628" w:firstLineChars="200"/>
        <w:rPr>
          <w:rFonts w:ascii="仿宋_GB2312" w:hAnsi="仿宋"/>
          <w:szCs w:val="32"/>
        </w:rPr>
      </w:pPr>
      <w:r>
        <w:rPr>
          <w:rFonts w:hint="eastAsia" w:ascii="仿宋_GB2312" w:hAnsi="仿宋"/>
          <w:szCs w:val="32"/>
        </w:rPr>
        <w:t>202</w:t>
      </w:r>
      <w:r>
        <w:rPr>
          <w:rFonts w:ascii="仿宋_GB2312" w:hAnsi="仿宋"/>
          <w:szCs w:val="32"/>
        </w:rPr>
        <w:t>1</w:t>
      </w:r>
      <w:r>
        <w:rPr>
          <w:rFonts w:hint="eastAsia" w:ascii="仿宋_GB2312" w:hAnsi="仿宋"/>
          <w:szCs w:val="32"/>
        </w:rPr>
        <w:t>年度收入总计</w:t>
      </w:r>
      <w:r>
        <w:rPr>
          <w:rFonts w:ascii="仿宋_GB2312" w:hAnsi="仿宋"/>
          <w:szCs w:val="32"/>
        </w:rPr>
        <w:t>5118.76</w:t>
      </w:r>
      <w:r>
        <w:rPr>
          <w:rFonts w:hint="eastAsia" w:ascii="仿宋_GB2312" w:hAnsi="仿宋"/>
          <w:szCs w:val="32"/>
        </w:rPr>
        <w:t>万元（含使用非财政拨款结转结余和年初结转结余）、支出总计</w:t>
      </w:r>
      <w:r>
        <w:rPr>
          <w:rFonts w:ascii="仿宋_GB2312" w:hAnsi="仿宋"/>
          <w:szCs w:val="32"/>
        </w:rPr>
        <w:t>5118.76</w:t>
      </w:r>
      <w:r>
        <w:rPr>
          <w:rFonts w:hint="eastAsia" w:ascii="仿宋_GB2312" w:hAnsi="仿宋"/>
          <w:szCs w:val="32"/>
        </w:rPr>
        <w:t>万元（含结余分配和年末结转结余）。与20</w:t>
      </w:r>
      <w:r>
        <w:rPr>
          <w:rFonts w:ascii="仿宋_GB2312" w:hAnsi="仿宋"/>
          <w:szCs w:val="32"/>
        </w:rPr>
        <w:t>20</w:t>
      </w:r>
      <w:r>
        <w:rPr>
          <w:rFonts w:hint="eastAsia" w:ascii="仿宋_GB2312" w:hAnsi="仿宋"/>
          <w:szCs w:val="32"/>
        </w:rPr>
        <w:t>年相比，收、支总计各增加</w:t>
      </w:r>
      <w:r>
        <w:rPr>
          <w:rFonts w:ascii="仿宋_GB2312" w:hAnsi="仿宋"/>
          <w:szCs w:val="32"/>
        </w:rPr>
        <w:t>1095.54</w:t>
      </w:r>
      <w:r>
        <w:rPr>
          <w:rFonts w:hint="eastAsia" w:ascii="仿宋_GB2312" w:hAnsi="仿宋"/>
          <w:szCs w:val="32"/>
        </w:rPr>
        <w:t>万元，增长</w:t>
      </w:r>
      <w:r>
        <w:rPr>
          <w:rFonts w:ascii="仿宋_GB2312" w:hAnsi="仿宋"/>
          <w:szCs w:val="32"/>
        </w:rPr>
        <w:t>27.23</w:t>
      </w:r>
      <w:r>
        <w:rPr>
          <w:rFonts w:hint="eastAsia" w:ascii="仿宋_GB2312" w:hAnsi="仿宋"/>
          <w:szCs w:val="32"/>
        </w:rPr>
        <w:t>%，主要原因：</w:t>
      </w:r>
      <w:r>
        <w:rPr>
          <w:rFonts w:hint="eastAsia" w:ascii="仿宋_GB2312" w:hAnsi="仿宋"/>
          <w:szCs w:val="32"/>
          <w:highlight w:val="none"/>
        </w:rPr>
        <w:t>人员经费增加，日常公用经费减少，导致全年收支增加</w:t>
      </w:r>
      <w:r>
        <w:rPr>
          <w:rFonts w:hint="eastAsia" w:ascii="仿宋_GB2312" w:hAnsi="仿宋"/>
          <w:szCs w:val="32"/>
        </w:rPr>
        <w:t>。</w:t>
      </w:r>
    </w:p>
    <w:p>
      <w:pPr>
        <w:ind w:firstLine="628" w:firstLineChars="200"/>
        <w:rPr>
          <w:rFonts w:ascii="黑体" w:hAnsi="仿宋" w:eastAsia="黑体"/>
          <w:szCs w:val="32"/>
        </w:rPr>
      </w:pPr>
      <w:r>
        <w:rPr>
          <w:rFonts w:hint="eastAsia" w:ascii="黑体" w:hAnsi="仿宋" w:eastAsia="黑体"/>
          <w:szCs w:val="32"/>
        </w:rPr>
        <w:t>（二）收入决算情况说明</w:t>
      </w:r>
    </w:p>
    <w:p>
      <w:pPr>
        <w:ind w:firstLine="628" w:firstLineChars="200"/>
        <w:rPr>
          <w:rFonts w:ascii="仿宋_GB2312" w:hAnsi="仿宋"/>
          <w:szCs w:val="32"/>
        </w:rPr>
      </w:pPr>
      <w:r>
        <w:rPr>
          <w:rFonts w:hint="eastAsia" w:ascii="仿宋_GB2312" w:hAnsi="仿宋"/>
          <w:szCs w:val="32"/>
        </w:rPr>
        <w:t>202</w:t>
      </w:r>
      <w:r>
        <w:rPr>
          <w:rFonts w:ascii="仿宋_GB2312" w:hAnsi="仿宋"/>
          <w:szCs w:val="32"/>
        </w:rPr>
        <w:t>1</w:t>
      </w:r>
      <w:r>
        <w:rPr>
          <w:rFonts w:hint="eastAsia" w:ascii="仿宋_GB2312" w:hAnsi="仿宋"/>
          <w:szCs w:val="32"/>
        </w:rPr>
        <w:t>年度收入合计</w:t>
      </w:r>
      <w:r>
        <w:rPr>
          <w:rFonts w:ascii="仿宋_GB2312" w:hAnsi="仿宋"/>
          <w:szCs w:val="32"/>
        </w:rPr>
        <w:t>5090.64</w:t>
      </w:r>
      <w:r>
        <w:rPr>
          <w:rFonts w:hint="eastAsia" w:ascii="仿宋_GB2312" w:hAnsi="仿宋"/>
          <w:szCs w:val="32"/>
        </w:rPr>
        <w:t>万元，其中：财政拨款收入</w:t>
      </w:r>
      <w:r>
        <w:rPr>
          <w:rFonts w:ascii="仿宋_GB2312" w:hAnsi="仿宋"/>
          <w:szCs w:val="32"/>
        </w:rPr>
        <w:t>4579.32</w:t>
      </w:r>
      <w:r>
        <w:rPr>
          <w:rFonts w:hint="eastAsia" w:ascii="仿宋_GB2312" w:hAnsi="仿宋"/>
          <w:szCs w:val="32"/>
        </w:rPr>
        <w:t>万元，占</w:t>
      </w:r>
      <w:r>
        <w:rPr>
          <w:rFonts w:ascii="仿宋_GB2312" w:hAnsi="仿宋"/>
          <w:szCs w:val="32"/>
        </w:rPr>
        <w:t>89.96</w:t>
      </w:r>
      <w:r>
        <w:rPr>
          <w:rFonts w:hint="eastAsia" w:ascii="仿宋_GB2312" w:hAnsi="仿宋"/>
          <w:szCs w:val="32"/>
        </w:rPr>
        <w:t>%；事业收入</w:t>
      </w:r>
      <w:r>
        <w:rPr>
          <w:rFonts w:ascii="仿宋_GB2312" w:hAnsi="仿宋"/>
          <w:szCs w:val="32"/>
        </w:rPr>
        <w:t>511.31</w:t>
      </w:r>
      <w:r>
        <w:rPr>
          <w:rFonts w:hint="eastAsia" w:ascii="仿宋_GB2312" w:hAnsi="仿宋"/>
          <w:szCs w:val="32"/>
        </w:rPr>
        <w:t>万元，占</w:t>
      </w:r>
      <w:r>
        <w:rPr>
          <w:rFonts w:ascii="仿宋_GB2312" w:hAnsi="仿宋"/>
          <w:szCs w:val="32"/>
        </w:rPr>
        <w:t>10.04</w:t>
      </w:r>
      <w:r>
        <w:rPr>
          <w:rFonts w:hint="eastAsia" w:ascii="仿宋_GB2312" w:hAnsi="仿宋"/>
          <w:szCs w:val="32"/>
        </w:rPr>
        <w:t>%；经营收入0万元，占0%；其他收入0万元，占0%。</w:t>
      </w:r>
    </w:p>
    <w:p>
      <w:pPr>
        <w:ind w:firstLine="628" w:firstLineChars="200"/>
        <w:rPr>
          <w:rFonts w:ascii="黑体" w:hAnsi="仿宋" w:eastAsia="黑体"/>
          <w:szCs w:val="32"/>
        </w:rPr>
      </w:pPr>
      <w:r>
        <w:rPr>
          <w:rFonts w:hint="eastAsia" w:ascii="黑体" w:hAnsi="仿宋" w:eastAsia="黑体"/>
          <w:szCs w:val="32"/>
        </w:rPr>
        <w:t>（三）支出决算情况说明</w:t>
      </w:r>
    </w:p>
    <w:p>
      <w:pPr>
        <w:ind w:firstLine="628" w:firstLineChars="200"/>
        <w:rPr>
          <w:rFonts w:ascii="仿宋_GB2312" w:hAnsi="仿宋"/>
          <w:szCs w:val="32"/>
        </w:rPr>
      </w:pPr>
      <w:r>
        <w:rPr>
          <w:rFonts w:hint="eastAsia" w:ascii="仿宋_GB2312" w:hAnsi="仿宋"/>
          <w:szCs w:val="32"/>
        </w:rPr>
        <w:t>202</w:t>
      </w:r>
      <w:r>
        <w:rPr>
          <w:rFonts w:ascii="仿宋_GB2312" w:hAnsi="仿宋"/>
          <w:szCs w:val="32"/>
        </w:rPr>
        <w:t>1</w:t>
      </w:r>
      <w:r>
        <w:rPr>
          <w:rFonts w:hint="eastAsia" w:ascii="仿宋_GB2312" w:hAnsi="仿宋"/>
          <w:szCs w:val="32"/>
        </w:rPr>
        <w:t>年度支出合计</w:t>
      </w:r>
      <w:r>
        <w:rPr>
          <w:rFonts w:ascii="仿宋_GB2312" w:hAnsi="仿宋"/>
          <w:szCs w:val="32"/>
        </w:rPr>
        <w:t>5090.64</w:t>
      </w:r>
      <w:r>
        <w:rPr>
          <w:rFonts w:hint="eastAsia" w:ascii="仿宋_GB2312" w:hAnsi="仿宋"/>
          <w:szCs w:val="32"/>
        </w:rPr>
        <w:t>万元，其中：基本支出</w:t>
      </w:r>
      <w:r>
        <w:rPr>
          <w:rFonts w:ascii="仿宋_GB2312" w:hAnsi="仿宋"/>
          <w:szCs w:val="32"/>
        </w:rPr>
        <w:t>4482.96</w:t>
      </w:r>
      <w:r>
        <w:rPr>
          <w:rFonts w:hint="eastAsia" w:ascii="仿宋_GB2312" w:hAnsi="仿宋"/>
          <w:szCs w:val="32"/>
        </w:rPr>
        <w:t>万元，占</w:t>
      </w:r>
      <w:r>
        <w:rPr>
          <w:rFonts w:ascii="仿宋_GB2312" w:hAnsi="仿宋"/>
          <w:szCs w:val="32"/>
        </w:rPr>
        <w:t>88.06</w:t>
      </w:r>
      <w:r>
        <w:rPr>
          <w:rFonts w:hint="eastAsia" w:ascii="仿宋_GB2312" w:hAnsi="仿宋"/>
          <w:szCs w:val="32"/>
        </w:rPr>
        <w:t>%；项目支出</w:t>
      </w:r>
      <w:r>
        <w:rPr>
          <w:rFonts w:ascii="仿宋_GB2312" w:hAnsi="仿宋"/>
          <w:szCs w:val="32"/>
        </w:rPr>
        <w:t>607.68</w:t>
      </w:r>
      <w:r>
        <w:rPr>
          <w:rFonts w:hint="eastAsia" w:ascii="仿宋_GB2312" w:hAnsi="仿宋"/>
          <w:szCs w:val="32"/>
        </w:rPr>
        <w:t>万元，占</w:t>
      </w:r>
      <w:r>
        <w:rPr>
          <w:rFonts w:ascii="仿宋_GB2312" w:hAnsi="仿宋"/>
          <w:szCs w:val="32"/>
        </w:rPr>
        <w:t>11.94</w:t>
      </w:r>
      <w:r>
        <w:rPr>
          <w:rFonts w:hint="eastAsia" w:ascii="仿宋_GB2312" w:hAnsi="仿宋"/>
          <w:szCs w:val="32"/>
        </w:rPr>
        <w:t>%；经营支出0万元，占0%。</w:t>
      </w:r>
    </w:p>
    <w:p>
      <w:pPr>
        <w:ind w:firstLine="628" w:firstLineChars="200"/>
        <w:rPr>
          <w:rFonts w:ascii="黑体" w:hAnsi="仿宋" w:eastAsia="黑体"/>
          <w:szCs w:val="32"/>
        </w:rPr>
      </w:pPr>
      <w:r>
        <w:rPr>
          <w:rFonts w:hint="eastAsia" w:ascii="黑体" w:hAnsi="仿宋" w:eastAsia="黑体"/>
          <w:szCs w:val="32"/>
        </w:rPr>
        <w:t>（四）</w:t>
      </w:r>
      <w:r>
        <w:rPr>
          <w:rFonts w:hint="eastAsia" w:ascii="黑体" w:eastAsia="黑体"/>
          <w:szCs w:val="32"/>
        </w:rPr>
        <w:t>财政拨款收入支出决算总体情况说明</w:t>
      </w:r>
    </w:p>
    <w:p>
      <w:pPr>
        <w:ind w:firstLine="628" w:firstLineChars="200"/>
        <w:rPr>
          <w:rFonts w:ascii="仿宋_GB2312" w:hAnsi="仿宋"/>
          <w:szCs w:val="32"/>
        </w:rPr>
      </w:pPr>
      <w:r>
        <w:rPr>
          <w:rFonts w:hint="eastAsia" w:ascii="仿宋_GB2312" w:hAnsi="仿宋"/>
          <w:szCs w:val="32"/>
        </w:rPr>
        <w:t>202</w:t>
      </w:r>
      <w:r>
        <w:rPr>
          <w:rFonts w:ascii="仿宋_GB2312" w:hAnsi="仿宋"/>
          <w:szCs w:val="32"/>
        </w:rPr>
        <w:t>1</w:t>
      </w:r>
      <w:r>
        <w:rPr>
          <w:rFonts w:hint="eastAsia" w:ascii="仿宋_GB2312" w:hAnsi="仿宋"/>
          <w:szCs w:val="32"/>
        </w:rPr>
        <w:t>年度财政拨款收入总计</w:t>
      </w:r>
      <w:r>
        <w:rPr>
          <w:rFonts w:ascii="仿宋_GB2312" w:hAnsi="仿宋"/>
          <w:szCs w:val="32"/>
        </w:rPr>
        <w:t>4607.45</w:t>
      </w:r>
      <w:r>
        <w:rPr>
          <w:rFonts w:hint="eastAsia" w:ascii="仿宋_GB2312" w:hAnsi="仿宋"/>
          <w:szCs w:val="32"/>
        </w:rPr>
        <w:t>万元（含年初财政拨款结转结余），支出总计</w:t>
      </w:r>
      <w:r>
        <w:rPr>
          <w:rFonts w:ascii="仿宋_GB2312" w:hAnsi="仿宋"/>
          <w:szCs w:val="32"/>
        </w:rPr>
        <w:t>4607.45</w:t>
      </w:r>
      <w:r>
        <w:rPr>
          <w:rFonts w:hint="eastAsia" w:ascii="仿宋_GB2312" w:hAnsi="仿宋"/>
          <w:szCs w:val="32"/>
        </w:rPr>
        <w:t>万元（含年末财政拨款结转结余）。与20</w:t>
      </w:r>
      <w:r>
        <w:rPr>
          <w:rFonts w:ascii="仿宋_GB2312" w:hAnsi="仿宋"/>
          <w:szCs w:val="32"/>
        </w:rPr>
        <w:t>20</w:t>
      </w:r>
      <w:r>
        <w:rPr>
          <w:rFonts w:hint="eastAsia" w:ascii="仿宋_GB2312" w:hAnsi="仿宋"/>
          <w:szCs w:val="32"/>
        </w:rPr>
        <w:t>年相比，财政拨款收、支总计各增加</w:t>
      </w:r>
      <w:r>
        <w:rPr>
          <w:rFonts w:ascii="仿宋_GB2312" w:hAnsi="仿宋"/>
          <w:szCs w:val="32"/>
        </w:rPr>
        <w:t>974.9</w:t>
      </w:r>
      <w:r>
        <w:rPr>
          <w:rFonts w:hint="eastAsia" w:ascii="仿宋_GB2312" w:hAnsi="仿宋"/>
          <w:szCs w:val="32"/>
        </w:rPr>
        <w:t>万元，增长</w:t>
      </w:r>
      <w:r>
        <w:rPr>
          <w:rFonts w:ascii="仿宋_GB2312" w:hAnsi="仿宋"/>
          <w:szCs w:val="32"/>
        </w:rPr>
        <w:t>26.84</w:t>
      </w:r>
      <w:r>
        <w:rPr>
          <w:rFonts w:hint="eastAsia" w:ascii="仿宋_GB2312" w:hAnsi="仿宋"/>
          <w:szCs w:val="32"/>
        </w:rPr>
        <w:t>%，</w:t>
      </w:r>
      <w:r>
        <w:rPr>
          <w:rFonts w:hint="eastAsia" w:ascii="仿宋_GB2312" w:hAnsi="仿宋"/>
          <w:szCs w:val="32"/>
          <w:highlight w:val="none"/>
        </w:rPr>
        <w:t>主要原因：</w:t>
      </w:r>
      <w:r>
        <w:rPr>
          <w:rFonts w:ascii="宋体" w:hAnsi="宋体"/>
          <w:szCs w:val="32"/>
          <w:highlight w:val="none"/>
        </w:rPr>
        <w:t>教育</w:t>
      </w:r>
      <w:r>
        <w:rPr>
          <w:rFonts w:hint="eastAsia" w:ascii="宋体" w:hAnsi="宋体"/>
          <w:szCs w:val="32"/>
          <w:highlight w:val="none"/>
        </w:rPr>
        <w:t>费</w:t>
      </w:r>
      <w:r>
        <w:rPr>
          <w:rFonts w:ascii="宋体" w:hAnsi="宋体"/>
          <w:szCs w:val="32"/>
          <w:highlight w:val="none"/>
        </w:rPr>
        <w:t>附加资金比上年度略有提高，主要用于学校基础设施</w:t>
      </w:r>
      <w:r>
        <w:rPr>
          <w:rFonts w:hint="eastAsia" w:ascii="宋体" w:hAnsi="宋体"/>
          <w:szCs w:val="32"/>
          <w:highlight w:val="none"/>
        </w:rPr>
        <w:t>的维修及</w:t>
      </w:r>
      <w:r>
        <w:rPr>
          <w:rFonts w:ascii="宋体" w:hAnsi="宋体"/>
          <w:szCs w:val="32"/>
          <w:highlight w:val="none"/>
        </w:rPr>
        <w:t>教学设备</w:t>
      </w:r>
      <w:r>
        <w:rPr>
          <w:rFonts w:hint="eastAsia" w:ascii="宋体" w:hAnsi="宋体"/>
          <w:szCs w:val="32"/>
          <w:highlight w:val="none"/>
        </w:rPr>
        <w:t>等</w:t>
      </w:r>
      <w:r>
        <w:rPr>
          <w:rFonts w:ascii="宋体" w:hAnsi="宋体"/>
          <w:szCs w:val="32"/>
          <w:highlight w:val="none"/>
        </w:rPr>
        <w:t>的采购。</w:t>
      </w:r>
      <w:r>
        <w:rPr>
          <w:rFonts w:hint="eastAsia" w:ascii="宋体" w:hAnsi="宋体"/>
          <w:szCs w:val="32"/>
          <w:highlight w:val="none"/>
        </w:rPr>
        <w:t>本年</w:t>
      </w:r>
      <w:r>
        <w:rPr>
          <w:rFonts w:ascii="宋体" w:hAnsi="宋体"/>
          <w:szCs w:val="32"/>
          <w:highlight w:val="none"/>
        </w:rPr>
        <w:t>增加了</w:t>
      </w:r>
      <w:r>
        <w:rPr>
          <w:rFonts w:hint="eastAsia" w:ascii="宋体" w:hAnsi="宋体"/>
          <w:szCs w:val="32"/>
          <w:highlight w:val="none"/>
        </w:rPr>
        <w:t>如发放一次性奖励等。</w:t>
      </w:r>
    </w:p>
    <w:p>
      <w:pPr>
        <w:ind w:firstLine="628" w:firstLineChars="200"/>
        <w:rPr>
          <w:rFonts w:ascii="黑体" w:hAnsi="仿宋" w:eastAsia="黑体"/>
          <w:szCs w:val="32"/>
        </w:rPr>
      </w:pPr>
      <w:r>
        <w:rPr>
          <w:rFonts w:hint="eastAsia" w:ascii="黑体" w:hAnsi="仿宋" w:eastAsia="黑体"/>
          <w:szCs w:val="32"/>
        </w:rPr>
        <w:t>（五）一般公共预算财政拨款支出决算情况说明</w:t>
      </w:r>
    </w:p>
    <w:p>
      <w:pPr>
        <w:ind w:firstLine="628" w:firstLineChars="200"/>
        <w:rPr>
          <w:rFonts w:ascii="仿宋_GB2312" w:hAnsi="仿宋"/>
          <w:b/>
          <w:bCs/>
          <w:szCs w:val="32"/>
        </w:rPr>
      </w:pPr>
      <w:r>
        <w:rPr>
          <w:rFonts w:hint="eastAsia" w:ascii="仿宋_GB2312" w:hAnsi="仿宋"/>
          <w:b/>
          <w:bCs/>
          <w:szCs w:val="32"/>
        </w:rPr>
        <w:t>1、一般公共预算财政拨款支出决算总体情况。</w:t>
      </w:r>
    </w:p>
    <w:p>
      <w:pPr>
        <w:ind w:firstLine="628" w:firstLineChars="200"/>
        <w:rPr>
          <w:rFonts w:ascii="仿宋_GB2312" w:hAnsi="仿宋"/>
          <w:szCs w:val="32"/>
        </w:rPr>
      </w:pPr>
      <w:r>
        <w:rPr>
          <w:rFonts w:hint="eastAsia" w:ascii="仿宋_GB2312" w:hAnsi="仿宋"/>
          <w:szCs w:val="32"/>
        </w:rPr>
        <w:t>202</w:t>
      </w:r>
      <w:r>
        <w:rPr>
          <w:rFonts w:ascii="仿宋_GB2312" w:hAnsi="仿宋"/>
          <w:szCs w:val="32"/>
        </w:rPr>
        <w:t>1</w:t>
      </w:r>
      <w:r>
        <w:rPr>
          <w:rFonts w:hint="eastAsia" w:ascii="仿宋_GB2312" w:hAnsi="仿宋"/>
          <w:szCs w:val="32"/>
        </w:rPr>
        <w:t>年度一般公共预算财政拨款支出</w:t>
      </w:r>
      <w:r>
        <w:rPr>
          <w:rFonts w:ascii="仿宋_GB2312" w:hAnsi="仿宋"/>
          <w:szCs w:val="32"/>
        </w:rPr>
        <w:t>4579.32</w:t>
      </w:r>
      <w:r>
        <w:rPr>
          <w:rFonts w:hint="eastAsia" w:ascii="仿宋_GB2312" w:hAnsi="仿宋"/>
          <w:szCs w:val="32"/>
        </w:rPr>
        <w:t>万元，占本年支出的</w:t>
      </w:r>
      <w:r>
        <w:rPr>
          <w:rFonts w:ascii="仿宋_GB2312" w:hAnsi="仿宋"/>
          <w:szCs w:val="32"/>
        </w:rPr>
        <w:t>89.40</w:t>
      </w:r>
      <w:r>
        <w:rPr>
          <w:rFonts w:hint="eastAsia" w:ascii="仿宋_GB2312" w:hAnsi="仿宋"/>
          <w:szCs w:val="32"/>
        </w:rPr>
        <w:t>%。与20</w:t>
      </w:r>
      <w:r>
        <w:rPr>
          <w:rFonts w:ascii="仿宋_GB2312" w:hAnsi="仿宋"/>
          <w:szCs w:val="32"/>
        </w:rPr>
        <w:t>20</w:t>
      </w:r>
      <w:r>
        <w:rPr>
          <w:rFonts w:hint="eastAsia" w:ascii="仿宋_GB2312" w:hAnsi="仿宋"/>
          <w:szCs w:val="32"/>
        </w:rPr>
        <w:t>年相比，一般公共预算财政拨款支出增加</w:t>
      </w:r>
      <w:r>
        <w:rPr>
          <w:rFonts w:ascii="仿宋_GB2312" w:hAnsi="仿宋"/>
          <w:szCs w:val="32"/>
        </w:rPr>
        <w:t>974.89</w:t>
      </w:r>
      <w:r>
        <w:rPr>
          <w:rFonts w:hint="eastAsia" w:ascii="仿宋_GB2312" w:hAnsi="仿宋"/>
          <w:szCs w:val="32"/>
        </w:rPr>
        <w:t>万元，增加</w:t>
      </w:r>
      <w:r>
        <w:rPr>
          <w:rFonts w:ascii="仿宋_GB2312" w:hAnsi="仿宋"/>
          <w:szCs w:val="32"/>
        </w:rPr>
        <w:t>27.05</w:t>
      </w:r>
      <w:r>
        <w:rPr>
          <w:rFonts w:hint="eastAsia" w:ascii="仿宋_GB2312" w:hAnsi="仿宋"/>
          <w:szCs w:val="32"/>
        </w:rPr>
        <w:t>%。</w:t>
      </w:r>
      <w:r>
        <w:rPr>
          <w:rFonts w:hint="eastAsia" w:ascii="仿宋_GB2312" w:hAnsi="仿宋"/>
          <w:szCs w:val="32"/>
          <w:highlight w:val="none"/>
        </w:rPr>
        <w:t>主要原因是</w:t>
      </w:r>
      <w:r>
        <w:rPr>
          <w:rFonts w:ascii="宋体" w:hAnsi="宋体"/>
          <w:szCs w:val="32"/>
          <w:highlight w:val="none"/>
        </w:rPr>
        <w:t>教育</w:t>
      </w:r>
      <w:r>
        <w:rPr>
          <w:rFonts w:hint="eastAsia" w:ascii="宋体" w:hAnsi="宋体"/>
          <w:szCs w:val="32"/>
          <w:highlight w:val="none"/>
        </w:rPr>
        <w:t>费</w:t>
      </w:r>
      <w:r>
        <w:rPr>
          <w:rFonts w:ascii="宋体" w:hAnsi="宋体"/>
          <w:szCs w:val="32"/>
          <w:highlight w:val="none"/>
        </w:rPr>
        <w:t>附加资金比上年度略有提高，主要用于学校基础设施</w:t>
      </w:r>
      <w:r>
        <w:rPr>
          <w:rFonts w:hint="eastAsia" w:ascii="宋体" w:hAnsi="宋体"/>
          <w:szCs w:val="32"/>
          <w:highlight w:val="none"/>
        </w:rPr>
        <w:t>的维修及</w:t>
      </w:r>
      <w:r>
        <w:rPr>
          <w:rFonts w:ascii="宋体" w:hAnsi="宋体"/>
          <w:szCs w:val="32"/>
          <w:highlight w:val="none"/>
        </w:rPr>
        <w:t>教学设备</w:t>
      </w:r>
      <w:r>
        <w:rPr>
          <w:rFonts w:hint="eastAsia" w:ascii="宋体" w:hAnsi="宋体"/>
          <w:szCs w:val="32"/>
          <w:highlight w:val="none"/>
        </w:rPr>
        <w:t>等</w:t>
      </w:r>
      <w:r>
        <w:rPr>
          <w:rFonts w:ascii="宋体" w:hAnsi="宋体"/>
          <w:szCs w:val="32"/>
          <w:highlight w:val="none"/>
        </w:rPr>
        <w:t>的采购。</w:t>
      </w:r>
      <w:r>
        <w:rPr>
          <w:rFonts w:hint="eastAsia" w:ascii="宋体" w:hAnsi="宋体"/>
          <w:szCs w:val="32"/>
          <w:highlight w:val="none"/>
        </w:rPr>
        <w:t>本年</w:t>
      </w:r>
      <w:r>
        <w:rPr>
          <w:rFonts w:ascii="宋体" w:hAnsi="宋体"/>
          <w:szCs w:val="32"/>
          <w:highlight w:val="none"/>
        </w:rPr>
        <w:t>增加了</w:t>
      </w:r>
      <w:r>
        <w:rPr>
          <w:rFonts w:hint="eastAsia" w:ascii="宋体" w:hAnsi="宋体"/>
          <w:szCs w:val="32"/>
          <w:highlight w:val="none"/>
        </w:rPr>
        <w:t>如发放一次性奖励等。</w:t>
      </w:r>
    </w:p>
    <w:p>
      <w:pPr>
        <w:ind w:firstLine="628" w:firstLineChars="200"/>
        <w:rPr>
          <w:rFonts w:ascii="仿宋_GB2312" w:hAnsi="仿宋"/>
          <w:b/>
          <w:szCs w:val="32"/>
        </w:rPr>
      </w:pPr>
      <w:r>
        <w:rPr>
          <w:rFonts w:hint="eastAsia" w:ascii="仿宋_GB2312" w:hAnsi="仿宋"/>
          <w:b/>
          <w:szCs w:val="32"/>
        </w:rPr>
        <w:t>2、一般公共预算财政拨款支出决算结构情况。</w:t>
      </w:r>
    </w:p>
    <w:p>
      <w:pPr>
        <w:ind w:firstLine="628" w:firstLineChars="200"/>
        <w:rPr>
          <w:rFonts w:ascii="仿宋_GB2312" w:hAnsi="仿宋"/>
          <w:szCs w:val="32"/>
        </w:rPr>
      </w:pPr>
      <w:r>
        <w:rPr>
          <w:rFonts w:hint="eastAsia" w:ascii="仿宋_GB2312" w:hAnsi="仿宋"/>
          <w:szCs w:val="32"/>
        </w:rPr>
        <w:t>202</w:t>
      </w:r>
      <w:r>
        <w:rPr>
          <w:rFonts w:ascii="仿宋_GB2312" w:hAnsi="仿宋"/>
          <w:szCs w:val="32"/>
        </w:rPr>
        <w:t>1</w:t>
      </w:r>
      <w:r>
        <w:rPr>
          <w:rFonts w:hint="eastAsia" w:ascii="仿宋_GB2312" w:hAnsi="仿宋"/>
          <w:szCs w:val="32"/>
        </w:rPr>
        <w:t>年度一般公共预算财政拨款支出4</w:t>
      </w:r>
      <w:r>
        <w:rPr>
          <w:rFonts w:ascii="仿宋_GB2312" w:hAnsi="仿宋"/>
          <w:szCs w:val="32"/>
        </w:rPr>
        <w:t>579.32</w:t>
      </w:r>
      <w:r>
        <w:rPr>
          <w:rFonts w:hint="eastAsia" w:ascii="仿宋_GB2312" w:hAnsi="仿宋"/>
          <w:szCs w:val="32"/>
        </w:rPr>
        <w:t>万元，主要用于以下方面：</w:t>
      </w:r>
      <w:r>
        <w:rPr>
          <w:rFonts w:hint="eastAsia" w:ascii="仿宋_GB2312" w:hAnsi="仿宋"/>
          <w:b/>
          <w:szCs w:val="32"/>
        </w:rPr>
        <w:t>教育（类）</w:t>
      </w:r>
      <w:r>
        <w:rPr>
          <w:rFonts w:hint="eastAsia" w:ascii="仿宋_GB2312" w:hAnsi="仿宋"/>
          <w:szCs w:val="32"/>
        </w:rPr>
        <w:t>支出2</w:t>
      </w:r>
      <w:r>
        <w:rPr>
          <w:rFonts w:ascii="仿宋_GB2312" w:hAnsi="仿宋"/>
          <w:szCs w:val="32"/>
        </w:rPr>
        <w:t>757.26</w:t>
      </w:r>
      <w:r>
        <w:rPr>
          <w:rFonts w:hint="eastAsia" w:ascii="仿宋_GB2312" w:hAnsi="仿宋"/>
          <w:szCs w:val="32"/>
        </w:rPr>
        <w:t>万元，占6</w:t>
      </w:r>
      <w:r>
        <w:rPr>
          <w:rFonts w:ascii="仿宋_GB2312" w:hAnsi="仿宋"/>
          <w:szCs w:val="32"/>
        </w:rPr>
        <w:t>0.21%</w:t>
      </w:r>
      <w:r>
        <w:rPr>
          <w:rFonts w:hint="eastAsia" w:ascii="仿宋_GB2312" w:hAnsi="仿宋"/>
          <w:szCs w:val="32"/>
        </w:rPr>
        <w:t>；</w:t>
      </w:r>
      <w:r>
        <w:rPr>
          <w:rFonts w:hint="eastAsia" w:ascii="仿宋_GB2312" w:hAnsi="仿宋"/>
          <w:b/>
          <w:szCs w:val="32"/>
        </w:rPr>
        <w:t>社会保障和就业（类）</w:t>
      </w:r>
      <w:r>
        <w:rPr>
          <w:rFonts w:hint="eastAsia" w:ascii="仿宋_GB2312" w:hAnsi="仿宋"/>
          <w:szCs w:val="32"/>
        </w:rPr>
        <w:t>支出1</w:t>
      </w:r>
      <w:r>
        <w:rPr>
          <w:rFonts w:ascii="仿宋_GB2312" w:hAnsi="仿宋"/>
          <w:szCs w:val="32"/>
        </w:rPr>
        <w:t>191.44</w:t>
      </w:r>
      <w:r>
        <w:rPr>
          <w:rFonts w:hint="eastAsia" w:ascii="仿宋_GB2312" w:hAnsi="仿宋"/>
          <w:szCs w:val="32"/>
        </w:rPr>
        <w:t>万元，占</w:t>
      </w:r>
      <w:r>
        <w:rPr>
          <w:rFonts w:ascii="仿宋_GB2312" w:hAnsi="仿宋"/>
          <w:szCs w:val="32"/>
        </w:rPr>
        <w:t>26.02</w:t>
      </w:r>
      <w:r>
        <w:rPr>
          <w:rFonts w:hint="eastAsia" w:ascii="仿宋_GB2312" w:hAnsi="仿宋"/>
          <w:szCs w:val="32"/>
        </w:rPr>
        <w:t>%；</w:t>
      </w:r>
      <w:r>
        <w:rPr>
          <w:rFonts w:hint="eastAsia" w:ascii="仿宋_GB2312" w:hAnsi="仿宋"/>
          <w:b/>
          <w:szCs w:val="32"/>
        </w:rPr>
        <w:t>房保障（类）</w:t>
      </w:r>
      <w:r>
        <w:rPr>
          <w:rFonts w:hint="eastAsia" w:ascii="仿宋_GB2312" w:hAnsi="仿宋"/>
          <w:szCs w:val="32"/>
        </w:rPr>
        <w:t>支出</w:t>
      </w:r>
      <w:r>
        <w:rPr>
          <w:rFonts w:ascii="仿宋_GB2312" w:hAnsi="仿宋"/>
          <w:szCs w:val="32"/>
        </w:rPr>
        <w:t>459.45</w:t>
      </w:r>
      <w:r>
        <w:rPr>
          <w:rFonts w:hint="eastAsia" w:ascii="仿宋_GB2312" w:hAnsi="仿宋"/>
          <w:szCs w:val="32"/>
        </w:rPr>
        <w:t>万元，占</w:t>
      </w:r>
      <w:r>
        <w:rPr>
          <w:rFonts w:ascii="仿宋_GB2312" w:hAnsi="仿宋"/>
          <w:szCs w:val="32"/>
        </w:rPr>
        <w:t>10.03</w:t>
      </w:r>
      <w:r>
        <w:rPr>
          <w:rFonts w:hint="eastAsia" w:ascii="仿宋_GB2312" w:hAnsi="仿宋"/>
          <w:szCs w:val="32"/>
        </w:rPr>
        <w:t>%；</w:t>
      </w:r>
      <w:r>
        <w:rPr>
          <w:rFonts w:hint="eastAsia" w:ascii="仿宋_GB2312" w:hAnsi="仿宋"/>
          <w:b/>
          <w:szCs w:val="32"/>
        </w:rPr>
        <w:t>卫生健康支出</w:t>
      </w:r>
      <w:r>
        <w:rPr>
          <w:rFonts w:ascii="仿宋_GB2312" w:hAnsi="仿宋"/>
          <w:szCs w:val="32"/>
        </w:rPr>
        <w:t>171.17</w:t>
      </w:r>
      <w:r>
        <w:rPr>
          <w:rFonts w:hint="eastAsia" w:ascii="仿宋_GB2312" w:hAnsi="仿宋"/>
          <w:szCs w:val="32"/>
        </w:rPr>
        <w:t>万元，占</w:t>
      </w:r>
      <w:r>
        <w:rPr>
          <w:rFonts w:ascii="仿宋_GB2312" w:hAnsi="仿宋"/>
          <w:szCs w:val="32"/>
        </w:rPr>
        <w:t>3.74</w:t>
      </w:r>
      <w:r>
        <w:rPr>
          <w:rFonts w:hint="eastAsia" w:ascii="仿宋_GB2312" w:hAnsi="仿宋"/>
          <w:szCs w:val="32"/>
        </w:rPr>
        <w:t>%。</w:t>
      </w:r>
    </w:p>
    <w:p>
      <w:pPr>
        <w:ind w:firstLine="628" w:firstLineChars="200"/>
        <w:rPr>
          <w:rFonts w:ascii="仿宋_GB2312" w:hAnsi="仿宋"/>
          <w:b/>
          <w:bCs/>
          <w:szCs w:val="32"/>
        </w:rPr>
      </w:pPr>
      <w:r>
        <w:rPr>
          <w:rFonts w:hint="eastAsia" w:ascii="仿宋_GB2312" w:hAnsi="仿宋"/>
          <w:b/>
          <w:bCs/>
          <w:szCs w:val="32"/>
        </w:rPr>
        <w:t>3、一般公共预算财政拨款支出决算具体情况。</w:t>
      </w:r>
    </w:p>
    <w:p>
      <w:pPr>
        <w:ind w:firstLine="628" w:firstLineChars="200"/>
        <w:rPr>
          <w:rFonts w:ascii="仿宋_GB2312" w:hAnsi="仿宋"/>
          <w:szCs w:val="32"/>
        </w:rPr>
      </w:pPr>
      <w:r>
        <w:rPr>
          <w:rFonts w:hint="eastAsia" w:ascii="仿宋_GB2312" w:hAnsi="仿宋"/>
          <w:szCs w:val="32"/>
        </w:rPr>
        <w:t>202</w:t>
      </w:r>
      <w:r>
        <w:rPr>
          <w:rFonts w:ascii="仿宋_GB2312" w:hAnsi="仿宋"/>
          <w:szCs w:val="32"/>
        </w:rPr>
        <w:t>1</w:t>
      </w:r>
      <w:r>
        <w:rPr>
          <w:rFonts w:hint="eastAsia" w:ascii="仿宋_GB2312" w:hAnsi="仿宋"/>
          <w:szCs w:val="32"/>
        </w:rPr>
        <w:t>年度一般公共预算财政拨款支出年初预算为2</w:t>
      </w:r>
      <w:r>
        <w:rPr>
          <w:rFonts w:ascii="仿宋_GB2312" w:hAnsi="仿宋"/>
          <w:szCs w:val="32"/>
        </w:rPr>
        <w:t>755.19</w:t>
      </w:r>
      <w:r>
        <w:rPr>
          <w:rFonts w:hint="eastAsia" w:ascii="仿宋_GB2312" w:hAnsi="仿宋"/>
          <w:szCs w:val="32"/>
        </w:rPr>
        <w:t>万元，支出决算为</w:t>
      </w:r>
      <w:r>
        <w:rPr>
          <w:rFonts w:ascii="仿宋_GB2312" w:hAnsi="仿宋"/>
          <w:szCs w:val="32"/>
        </w:rPr>
        <w:t>4579.32</w:t>
      </w:r>
      <w:r>
        <w:rPr>
          <w:rFonts w:hint="eastAsia" w:ascii="仿宋_GB2312" w:hAnsi="仿宋"/>
          <w:szCs w:val="32"/>
        </w:rPr>
        <w:t>万元，完成年初预算的1</w:t>
      </w:r>
      <w:r>
        <w:rPr>
          <w:rFonts w:ascii="仿宋_GB2312" w:hAnsi="仿宋"/>
          <w:szCs w:val="32"/>
        </w:rPr>
        <w:t>66.21</w:t>
      </w:r>
      <w:r>
        <w:rPr>
          <w:rFonts w:hint="eastAsia" w:ascii="仿宋_GB2312" w:hAnsi="仿宋"/>
          <w:szCs w:val="32"/>
        </w:rPr>
        <w:t>%。</w:t>
      </w:r>
      <w:r>
        <w:rPr>
          <w:rFonts w:hint="eastAsia" w:ascii="仿宋_GB2312" w:hAnsi="仿宋"/>
          <w:szCs w:val="32"/>
          <w:highlight w:val="none"/>
        </w:rPr>
        <w:t>决算数大于预算数的主要原因:增加了一次性奖励支出。</w:t>
      </w:r>
      <w:r>
        <w:rPr>
          <w:rFonts w:hint="eastAsia" w:ascii="仿宋_GB2312" w:hAnsi="仿宋"/>
          <w:szCs w:val="32"/>
        </w:rPr>
        <w:t>其中:基本支出</w:t>
      </w:r>
      <w:r>
        <w:rPr>
          <w:rFonts w:ascii="仿宋_GB2312" w:hAnsi="仿宋"/>
          <w:szCs w:val="32"/>
        </w:rPr>
        <w:t>4066.45</w:t>
      </w:r>
      <w:r>
        <w:rPr>
          <w:rFonts w:hint="eastAsia" w:ascii="仿宋_GB2312" w:hAnsi="仿宋"/>
          <w:szCs w:val="32"/>
        </w:rPr>
        <w:t>万元，占8</w:t>
      </w:r>
      <w:r>
        <w:rPr>
          <w:rFonts w:ascii="仿宋_GB2312" w:hAnsi="仿宋"/>
          <w:szCs w:val="32"/>
        </w:rPr>
        <w:t>8</w:t>
      </w:r>
      <w:r>
        <w:rPr>
          <w:rFonts w:hint="eastAsia" w:ascii="仿宋_GB2312" w:hAnsi="仿宋"/>
          <w:szCs w:val="32"/>
        </w:rPr>
        <w:t>.8</w:t>
      </w:r>
      <w:r>
        <w:rPr>
          <w:rFonts w:ascii="仿宋_GB2312" w:hAnsi="仿宋"/>
          <w:szCs w:val="32"/>
        </w:rPr>
        <w:t>0</w:t>
      </w:r>
      <w:r>
        <w:rPr>
          <w:rFonts w:hint="eastAsia" w:ascii="仿宋_GB2312" w:hAnsi="仿宋"/>
          <w:szCs w:val="32"/>
        </w:rPr>
        <w:t>%；项目支出</w:t>
      </w:r>
      <w:r>
        <w:rPr>
          <w:rFonts w:ascii="仿宋_GB2312" w:hAnsi="仿宋"/>
          <w:szCs w:val="32"/>
        </w:rPr>
        <w:t>512.87</w:t>
      </w:r>
      <w:r>
        <w:rPr>
          <w:rFonts w:hint="eastAsia" w:ascii="仿宋_GB2312" w:hAnsi="仿宋"/>
          <w:szCs w:val="32"/>
        </w:rPr>
        <w:t>万元，占1</w:t>
      </w:r>
      <w:r>
        <w:rPr>
          <w:rFonts w:ascii="仿宋_GB2312" w:hAnsi="仿宋"/>
          <w:szCs w:val="32"/>
        </w:rPr>
        <w:t>1</w:t>
      </w:r>
      <w:r>
        <w:rPr>
          <w:rFonts w:hint="eastAsia" w:ascii="仿宋_GB2312" w:hAnsi="仿宋"/>
          <w:szCs w:val="32"/>
        </w:rPr>
        <w:t>.</w:t>
      </w:r>
      <w:r>
        <w:rPr>
          <w:rFonts w:ascii="仿宋_GB2312" w:hAnsi="仿宋"/>
          <w:szCs w:val="32"/>
        </w:rPr>
        <w:t>20</w:t>
      </w:r>
      <w:r>
        <w:rPr>
          <w:rFonts w:hint="eastAsia" w:ascii="仿宋_GB2312" w:hAnsi="仿宋"/>
          <w:szCs w:val="32"/>
        </w:rPr>
        <w:t>%。具体情况如下：</w:t>
      </w:r>
    </w:p>
    <w:p>
      <w:pPr>
        <w:ind w:firstLine="628" w:firstLineChars="200"/>
        <w:rPr>
          <w:rFonts w:ascii="仿宋_GB2312" w:hAnsi="仿宋"/>
          <w:szCs w:val="32"/>
          <w:highlight w:val="none"/>
        </w:rPr>
      </w:pPr>
      <w:r>
        <w:rPr>
          <w:rFonts w:hint="eastAsia" w:ascii="仿宋_GB2312" w:hAnsi="仿宋"/>
          <w:b/>
          <w:bCs/>
          <w:szCs w:val="32"/>
        </w:rPr>
        <w:t>（1）</w:t>
      </w:r>
      <w:r>
        <w:rPr>
          <w:rFonts w:hint="eastAsia" w:ascii="仿宋_GB2312" w:hAnsi="仿宋"/>
          <w:b/>
          <w:szCs w:val="32"/>
        </w:rPr>
        <w:t>教育支出（类）普通教育（款）高中教育（项）</w:t>
      </w:r>
      <w:r>
        <w:rPr>
          <w:rFonts w:hint="eastAsia" w:ascii="仿宋_GB2312" w:hAnsi="仿宋"/>
          <w:szCs w:val="32"/>
        </w:rPr>
        <w:t>年初预算为</w:t>
      </w:r>
      <w:r>
        <w:rPr>
          <w:rFonts w:hint="eastAsia" w:ascii="仿宋_GB2312" w:hAnsi="仿宋"/>
          <w:szCs w:val="32"/>
          <w:highlight w:val="none"/>
          <w:lang w:val="en-US" w:eastAsia="zh-CN"/>
        </w:rPr>
        <w:t>2304.88</w:t>
      </w:r>
      <w:r>
        <w:rPr>
          <w:rFonts w:hint="eastAsia" w:ascii="仿宋_GB2312" w:hAnsi="仿宋"/>
          <w:szCs w:val="32"/>
          <w:highlight w:val="none"/>
        </w:rPr>
        <w:t>万元，支出决算为</w:t>
      </w:r>
      <w:r>
        <w:rPr>
          <w:rFonts w:ascii="仿宋_GB2312" w:hAnsi="仿宋"/>
          <w:szCs w:val="32"/>
          <w:highlight w:val="none"/>
        </w:rPr>
        <w:t>2</w:t>
      </w:r>
      <w:r>
        <w:rPr>
          <w:rFonts w:hint="eastAsia" w:ascii="仿宋_GB2312" w:hAnsi="仿宋"/>
          <w:szCs w:val="32"/>
          <w:highlight w:val="none"/>
          <w:lang w:val="en-US" w:eastAsia="zh-CN"/>
        </w:rPr>
        <w:t>483.52</w:t>
      </w:r>
      <w:r>
        <w:rPr>
          <w:rFonts w:hint="eastAsia" w:ascii="仿宋_GB2312" w:hAnsi="仿宋"/>
          <w:szCs w:val="32"/>
          <w:highlight w:val="none"/>
        </w:rPr>
        <w:t>万元，完成年初预算的1</w:t>
      </w:r>
      <w:r>
        <w:rPr>
          <w:rFonts w:hint="eastAsia" w:ascii="仿宋_GB2312" w:hAnsi="仿宋"/>
          <w:szCs w:val="32"/>
          <w:highlight w:val="none"/>
          <w:lang w:val="en-US" w:eastAsia="zh-CN"/>
        </w:rPr>
        <w:t>07.75</w:t>
      </w:r>
      <w:r>
        <w:rPr>
          <w:rFonts w:hint="eastAsia" w:ascii="仿宋_GB2312" w:hAnsi="仿宋"/>
          <w:szCs w:val="32"/>
          <w:highlight w:val="none"/>
        </w:rPr>
        <w:t xml:space="preserve">%，决算数大于预算数的主要原因:增加了一次性奖励支出。  </w:t>
      </w:r>
    </w:p>
    <w:p>
      <w:pPr>
        <w:ind w:firstLine="628" w:firstLineChars="200"/>
        <w:rPr>
          <w:rFonts w:ascii="仿宋_GB2312" w:hAnsi="仿宋"/>
          <w:szCs w:val="32"/>
        </w:rPr>
      </w:pPr>
      <w:r>
        <w:rPr>
          <w:rFonts w:hint="eastAsia" w:ascii="仿宋_GB2312" w:hAnsi="仿宋"/>
          <w:b/>
          <w:bCs/>
          <w:szCs w:val="32"/>
        </w:rPr>
        <w:t>（2）</w:t>
      </w:r>
      <w:r>
        <w:rPr>
          <w:rFonts w:hint="eastAsia" w:ascii="仿宋_GB2312" w:hAnsi="仿宋"/>
          <w:b/>
          <w:szCs w:val="32"/>
        </w:rPr>
        <w:t>教育支出（类）教育费附加安排的支出（款）其他教育费附加安排的支出（项）</w:t>
      </w:r>
      <w:r>
        <w:rPr>
          <w:rFonts w:hint="eastAsia" w:ascii="仿宋_GB2312" w:hAnsi="仿宋"/>
          <w:szCs w:val="32"/>
        </w:rPr>
        <w:t>年初预算为</w:t>
      </w:r>
      <w:r>
        <w:rPr>
          <w:rFonts w:hint="eastAsia" w:ascii="仿宋_GB2312" w:hAnsi="仿宋"/>
          <w:szCs w:val="32"/>
          <w:highlight w:val="none"/>
          <w:lang w:val="en-US" w:eastAsia="zh-CN"/>
        </w:rPr>
        <w:t>245</w:t>
      </w:r>
      <w:r>
        <w:rPr>
          <w:rFonts w:hint="eastAsia" w:ascii="仿宋_GB2312" w:hAnsi="仿宋"/>
          <w:szCs w:val="32"/>
        </w:rPr>
        <w:t>万元，支出决算为</w:t>
      </w:r>
      <w:r>
        <w:rPr>
          <w:rFonts w:ascii="仿宋_GB2312" w:hAnsi="仿宋"/>
          <w:szCs w:val="32"/>
        </w:rPr>
        <w:t>273.73</w:t>
      </w:r>
      <w:r>
        <w:rPr>
          <w:rFonts w:hint="eastAsia" w:ascii="仿宋_GB2312" w:hAnsi="仿宋"/>
          <w:szCs w:val="32"/>
        </w:rPr>
        <w:t>万元，完成年初预算的</w:t>
      </w:r>
      <w:r>
        <w:rPr>
          <w:rFonts w:hint="eastAsia" w:ascii="仿宋_GB2312" w:hAnsi="仿宋"/>
          <w:szCs w:val="32"/>
          <w:highlight w:val="none"/>
        </w:rPr>
        <w:t>1</w:t>
      </w:r>
      <w:r>
        <w:rPr>
          <w:rFonts w:hint="eastAsia" w:ascii="仿宋_GB2312" w:hAnsi="仿宋"/>
          <w:szCs w:val="32"/>
          <w:highlight w:val="none"/>
          <w:lang w:val="en-US" w:eastAsia="zh-CN"/>
        </w:rPr>
        <w:t>11.73</w:t>
      </w:r>
      <w:r>
        <w:rPr>
          <w:rFonts w:hint="eastAsia" w:ascii="仿宋_GB2312" w:hAnsi="仿宋"/>
          <w:szCs w:val="32"/>
          <w:highlight w:val="none"/>
        </w:rPr>
        <w:t>%，决算数大于预算数的主要原因:部分资金是上级主管部门年中划拨，具体包括：中高考标准化考点空调安装，教师队伍建设经费。</w:t>
      </w:r>
    </w:p>
    <w:p>
      <w:pPr>
        <w:ind w:firstLine="628" w:firstLineChars="200"/>
        <w:rPr>
          <w:rFonts w:ascii="仿宋_GB2312" w:hAnsi="仿宋"/>
          <w:szCs w:val="32"/>
          <w:highlight w:val="none"/>
        </w:rPr>
      </w:pPr>
      <w:r>
        <w:rPr>
          <w:rFonts w:hint="eastAsia" w:ascii="仿宋_GB2312" w:hAnsi="仿宋"/>
          <w:b/>
          <w:szCs w:val="32"/>
        </w:rPr>
        <w:t>（3）社会保障和就业支出（类）行政事业单位离退休（款）事业单位离退休（项）</w:t>
      </w:r>
      <w:r>
        <w:rPr>
          <w:rFonts w:hint="eastAsia" w:ascii="仿宋_GB2312" w:hAnsi="仿宋"/>
          <w:szCs w:val="32"/>
        </w:rPr>
        <w:t>年初预算</w:t>
      </w:r>
      <w:r>
        <w:rPr>
          <w:rFonts w:hint="eastAsia" w:ascii="仿宋_GB2312" w:hAnsi="仿宋"/>
          <w:szCs w:val="32"/>
          <w:highlight w:val="none"/>
          <w:lang w:val="en-US" w:eastAsia="zh-CN"/>
        </w:rPr>
        <w:t>2.33</w:t>
      </w:r>
      <w:r>
        <w:rPr>
          <w:rFonts w:hint="eastAsia" w:ascii="仿宋_GB2312" w:hAnsi="仿宋"/>
          <w:szCs w:val="32"/>
          <w:highlight w:val="none"/>
        </w:rPr>
        <w:t>万元</w:t>
      </w:r>
      <w:r>
        <w:rPr>
          <w:rFonts w:hint="eastAsia" w:ascii="仿宋_GB2312" w:hAnsi="仿宋"/>
          <w:szCs w:val="32"/>
        </w:rPr>
        <w:t>，支出决算为</w:t>
      </w:r>
      <w:r>
        <w:rPr>
          <w:rFonts w:ascii="仿宋_GB2312" w:hAnsi="仿宋"/>
          <w:szCs w:val="32"/>
        </w:rPr>
        <w:t>25.00</w:t>
      </w:r>
      <w:r>
        <w:rPr>
          <w:rFonts w:hint="eastAsia" w:ascii="仿宋_GB2312" w:hAnsi="仿宋"/>
          <w:szCs w:val="32"/>
        </w:rPr>
        <w:t>万元，完成年初预算</w:t>
      </w:r>
      <w:r>
        <w:rPr>
          <w:rFonts w:hint="eastAsia" w:ascii="仿宋_GB2312" w:hAnsi="仿宋"/>
          <w:szCs w:val="32"/>
          <w:highlight w:val="none"/>
        </w:rPr>
        <w:t>的</w:t>
      </w:r>
      <w:r>
        <w:rPr>
          <w:rFonts w:hint="eastAsia" w:ascii="仿宋_GB2312" w:hAnsi="仿宋"/>
          <w:szCs w:val="32"/>
          <w:highlight w:val="none"/>
          <w:lang w:val="en-US" w:eastAsia="zh-CN"/>
        </w:rPr>
        <w:t>100.00</w:t>
      </w:r>
      <w:r>
        <w:rPr>
          <w:rFonts w:hint="eastAsia" w:ascii="仿宋_GB2312" w:hAnsi="仿宋"/>
          <w:szCs w:val="32"/>
          <w:highlight w:val="none"/>
        </w:rPr>
        <w:t>%，决算数大于预算数的主要原因:增加了退休人员养老保险支出。</w:t>
      </w:r>
    </w:p>
    <w:p>
      <w:pPr>
        <w:ind w:firstLine="628" w:firstLineChars="200"/>
        <w:rPr>
          <w:rFonts w:ascii="仿宋_GB2312" w:hAnsi="仿宋"/>
          <w:bCs/>
          <w:szCs w:val="32"/>
        </w:rPr>
      </w:pPr>
      <w:r>
        <w:rPr>
          <w:rFonts w:hint="eastAsia" w:ascii="仿宋_GB2312" w:hAnsi="仿宋"/>
          <w:b/>
          <w:bCs/>
          <w:szCs w:val="32"/>
          <w:highlight w:val="none"/>
        </w:rPr>
        <w:t>（4）</w:t>
      </w:r>
      <w:r>
        <w:rPr>
          <w:rFonts w:hint="eastAsia" w:ascii="仿宋_GB2312" w:hAnsi="仿宋"/>
          <w:b/>
          <w:szCs w:val="32"/>
          <w:highlight w:val="none"/>
        </w:rPr>
        <w:t>社会保障和就业支出</w:t>
      </w:r>
      <w:r>
        <w:rPr>
          <w:rFonts w:hint="eastAsia" w:ascii="仿宋_GB2312" w:hAnsi="仿宋"/>
          <w:b/>
          <w:szCs w:val="32"/>
        </w:rPr>
        <w:t>（类）行政事业单位离退休（款）</w:t>
      </w:r>
      <w:r>
        <w:rPr>
          <w:rFonts w:hint="eastAsia" w:ascii="仿宋_GB2312" w:hAnsi="仿宋"/>
          <w:b/>
          <w:bCs/>
          <w:szCs w:val="32"/>
        </w:rPr>
        <w:t>机关事业单位基本养老保险缴费支出（项）</w:t>
      </w:r>
      <w:r>
        <w:rPr>
          <w:rFonts w:hint="eastAsia" w:ascii="仿宋_GB2312" w:hAnsi="仿宋"/>
          <w:bCs/>
          <w:szCs w:val="32"/>
        </w:rPr>
        <w:t>年初预算</w:t>
      </w:r>
      <w:r>
        <w:rPr>
          <w:rFonts w:hint="eastAsia" w:ascii="仿宋_GB2312" w:hAnsi="仿宋"/>
          <w:bCs/>
          <w:szCs w:val="32"/>
          <w:highlight w:val="none"/>
          <w:lang w:val="en-US" w:eastAsia="zh-CN"/>
        </w:rPr>
        <w:t>233.44</w:t>
      </w:r>
      <w:r>
        <w:rPr>
          <w:rFonts w:hint="eastAsia" w:ascii="仿宋_GB2312" w:hAnsi="仿宋"/>
          <w:bCs/>
          <w:szCs w:val="32"/>
          <w:highlight w:val="none"/>
        </w:rPr>
        <w:t>万</w:t>
      </w:r>
      <w:r>
        <w:rPr>
          <w:rFonts w:hint="eastAsia" w:ascii="仿宋_GB2312" w:hAnsi="仿宋"/>
          <w:bCs/>
          <w:szCs w:val="32"/>
        </w:rPr>
        <w:t>元，支出决算</w:t>
      </w:r>
      <w:r>
        <w:rPr>
          <w:rFonts w:ascii="仿宋_GB2312" w:hAnsi="仿宋"/>
          <w:bCs/>
          <w:szCs w:val="32"/>
        </w:rPr>
        <w:t>232.84</w:t>
      </w:r>
      <w:r>
        <w:rPr>
          <w:rFonts w:hint="eastAsia" w:ascii="仿宋_GB2312" w:hAnsi="仿宋"/>
          <w:bCs/>
          <w:szCs w:val="32"/>
        </w:rPr>
        <w:t>万元，完成年初预算</w:t>
      </w:r>
      <w:r>
        <w:rPr>
          <w:rFonts w:hint="eastAsia" w:ascii="仿宋_GB2312" w:hAnsi="仿宋"/>
          <w:bCs/>
          <w:szCs w:val="32"/>
          <w:highlight w:val="none"/>
        </w:rPr>
        <w:t>的</w:t>
      </w:r>
      <w:r>
        <w:rPr>
          <w:rFonts w:hint="eastAsia" w:ascii="仿宋_GB2312" w:hAnsi="仿宋"/>
          <w:bCs/>
          <w:szCs w:val="32"/>
          <w:highlight w:val="none"/>
          <w:lang w:val="en-US" w:eastAsia="zh-CN"/>
        </w:rPr>
        <w:t>99.74</w:t>
      </w:r>
      <w:r>
        <w:rPr>
          <w:rFonts w:hint="eastAsia" w:ascii="仿宋_GB2312" w:hAnsi="仿宋"/>
          <w:bCs/>
          <w:szCs w:val="32"/>
          <w:highlight w:val="none"/>
        </w:rPr>
        <w:t>%</w:t>
      </w:r>
      <w:r>
        <w:rPr>
          <w:rFonts w:hint="eastAsia" w:ascii="仿宋_GB2312" w:hAnsi="仿宋"/>
          <w:bCs/>
          <w:szCs w:val="32"/>
        </w:rPr>
        <w:t>。</w:t>
      </w:r>
    </w:p>
    <w:p>
      <w:pPr>
        <w:ind w:firstLine="628" w:firstLineChars="200"/>
        <w:rPr>
          <w:rFonts w:ascii="仿宋_GB2312" w:hAnsi="仿宋"/>
          <w:bCs/>
          <w:szCs w:val="32"/>
        </w:rPr>
      </w:pPr>
      <w:r>
        <w:rPr>
          <w:rFonts w:hint="eastAsia" w:ascii="仿宋_GB2312" w:hAnsi="仿宋"/>
          <w:b/>
          <w:bCs/>
          <w:szCs w:val="32"/>
        </w:rPr>
        <w:t>（5）</w:t>
      </w:r>
      <w:r>
        <w:rPr>
          <w:rFonts w:hint="eastAsia" w:ascii="仿宋_GB2312" w:hAnsi="仿宋"/>
          <w:b/>
          <w:szCs w:val="32"/>
        </w:rPr>
        <w:t>社会保障和就业支出（类）行政事业单位离退休（款）</w:t>
      </w:r>
      <w:r>
        <w:rPr>
          <w:rFonts w:hint="eastAsia" w:ascii="仿宋_GB2312" w:hAnsi="仿宋"/>
          <w:b/>
          <w:bCs/>
          <w:szCs w:val="32"/>
        </w:rPr>
        <w:t>其他社会保障和就业支出（项）</w:t>
      </w:r>
      <w:r>
        <w:rPr>
          <w:rFonts w:hint="eastAsia" w:ascii="仿宋_GB2312" w:hAnsi="仿宋"/>
          <w:bCs/>
          <w:szCs w:val="32"/>
        </w:rPr>
        <w:t>年初预算</w:t>
      </w:r>
      <w:r>
        <w:rPr>
          <w:rFonts w:hint="eastAsia" w:ascii="仿宋_GB2312" w:hAnsi="仿宋"/>
          <w:bCs/>
          <w:szCs w:val="32"/>
          <w:highlight w:val="none"/>
          <w:lang w:val="en-US" w:eastAsia="zh-CN"/>
        </w:rPr>
        <w:t>10.22</w:t>
      </w:r>
      <w:r>
        <w:rPr>
          <w:rFonts w:hint="eastAsia" w:ascii="仿宋_GB2312" w:hAnsi="仿宋"/>
          <w:bCs/>
          <w:szCs w:val="32"/>
          <w:highlight w:val="none"/>
        </w:rPr>
        <w:t>万元</w:t>
      </w:r>
      <w:r>
        <w:rPr>
          <w:rFonts w:hint="eastAsia" w:ascii="仿宋_GB2312" w:hAnsi="仿宋"/>
          <w:bCs/>
          <w:szCs w:val="32"/>
        </w:rPr>
        <w:t>，支出决算</w:t>
      </w:r>
      <w:r>
        <w:rPr>
          <w:rFonts w:ascii="仿宋_GB2312" w:hAnsi="仿宋"/>
          <w:bCs/>
          <w:szCs w:val="32"/>
        </w:rPr>
        <w:t>20.45</w:t>
      </w:r>
      <w:r>
        <w:rPr>
          <w:rFonts w:hint="eastAsia" w:ascii="仿宋_GB2312" w:hAnsi="仿宋"/>
          <w:bCs/>
          <w:szCs w:val="32"/>
        </w:rPr>
        <w:t>万元，完成年初预算</w:t>
      </w:r>
      <w:r>
        <w:rPr>
          <w:rFonts w:hint="eastAsia" w:ascii="仿宋_GB2312" w:hAnsi="仿宋"/>
          <w:bCs/>
          <w:szCs w:val="32"/>
          <w:highlight w:val="none"/>
        </w:rPr>
        <w:t>的</w:t>
      </w:r>
      <w:r>
        <w:rPr>
          <w:rFonts w:hint="eastAsia" w:ascii="仿宋_GB2312" w:hAnsi="仿宋"/>
          <w:bCs/>
          <w:szCs w:val="32"/>
          <w:highlight w:val="none"/>
          <w:lang w:val="en-US" w:eastAsia="zh-CN"/>
        </w:rPr>
        <w:t>200.00</w:t>
      </w:r>
      <w:r>
        <w:rPr>
          <w:rFonts w:hint="eastAsia" w:ascii="仿宋_GB2312" w:hAnsi="仿宋"/>
          <w:bCs/>
          <w:szCs w:val="32"/>
          <w:highlight w:val="none"/>
        </w:rPr>
        <w:t>%。</w:t>
      </w:r>
    </w:p>
    <w:p>
      <w:pPr>
        <w:ind w:firstLine="628" w:firstLineChars="200"/>
        <w:rPr>
          <w:rFonts w:ascii="仿宋_GB2312" w:hAnsi="仿宋"/>
          <w:szCs w:val="32"/>
        </w:rPr>
      </w:pPr>
      <w:r>
        <w:rPr>
          <w:rFonts w:hint="eastAsia" w:ascii="仿宋_GB2312" w:hAnsi="仿宋"/>
          <w:b/>
          <w:bCs/>
          <w:szCs w:val="32"/>
        </w:rPr>
        <w:t>（6）</w:t>
      </w:r>
      <w:r>
        <w:rPr>
          <w:rFonts w:hint="eastAsia" w:ascii="仿宋_GB2312" w:hAnsi="仿宋"/>
          <w:b/>
          <w:szCs w:val="32"/>
        </w:rPr>
        <w:t>社会保障和就业支出（类）行政事业单位离退休（款）</w:t>
      </w:r>
      <w:r>
        <w:rPr>
          <w:rFonts w:hint="eastAsia" w:ascii="仿宋_GB2312" w:hAnsi="仿宋"/>
          <w:b/>
          <w:bCs/>
          <w:szCs w:val="32"/>
        </w:rPr>
        <w:t>机关事业单位职业年金缴费支出（项）</w:t>
      </w:r>
      <w:r>
        <w:rPr>
          <w:rFonts w:hint="eastAsia" w:ascii="仿宋_GB2312" w:hAnsi="仿宋"/>
          <w:bCs/>
          <w:szCs w:val="32"/>
        </w:rPr>
        <w:t>年初预算</w:t>
      </w:r>
      <w:r>
        <w:rPr>
          <w:rFonts w:hint="eastAsia" w:ascii="仿宋_GB2312" w:hAnsi="仿宋"/>
          <w:bCs/>
          <w:szCs w:val="32"/>
          <w:highlight w:val="none"/>
        </w:rPr>
        <w:t>0万</w:t>
      </w:r>
      <w:r>
        <w:rPr>
          <w:rFonts w:hint="eastAsia" w:ascii="仿宋_GB2312" w:hAnsi="仿宋"/>
          <w:bCs/>
          <w:szCs w:val="32"/>
        </w:rPr>
        <w:t>元，支出决算</w:t>
      </w:r>
      <w:r>
        <w:rPr>
          <w:rFonts w:ascii="仿宋_GB2312" w:hAnsi="仿宋"/>
          <w:bCs/>
          <w:szCs w:val="32"/>
        </w:rPr>
        <w:t>913.15</w:t>
      </w:r>
      <w:r>
        <w:rPr>
          <w:rFonts w:hint="eastAsia" w:ascii="仿宋_GB2312" w:hAnsi="仿宋"/>
          <w:bCs/>
          <w:szCs w:val="32"/>
        </w:rPr>
        <w:t>万元。</w:t>
      </w:r>
      <w:r>
        <w:rPr>
          <w:rFonts w:hint="eastAsia" w:ascii="仿宋_GB2312" w:hAnsi="仿宋"/>
          <w:szCs w:val="32"/>
          <w:highlight w:val="none"/>
        </w:rPr>
        <w:t>决算数大于预算数的主要原因:人员退休或调出后职业年金做实支出。</w:t>
      </w:r>
    </w:p>
    <w:p>
      <w:pPr>
        <w:ind w:firstLine="628" w:firstLineChars="200"/>
        <w:rPr>
          <w:rFonts w:ascii="仿宋_GB2312" w:hAnsi="仿宋"/>
          <w:szCs w:val="32"/>
        </w:rPr>
      </w:pPr>
      <w:r>
        <w:rPr>
          <w:rFonts w:hint="eastAsia" w:ascii="仿宋_GB2312" w:hAnsi="仿宋"/>
          <w:b/>
          <w:szCs w:val="32"/>
        </w:rPr>
        <w:t>（7）卫生健康支出（类）行政事业单位医疗（款）事业单位医疗支出（项）</w:t>
      </w:r>
      <w:r>
        <w:rPr>
          <w:rFonts w:hint="eastAsia" w:ascii="仿宋_GB2312" w:hAnsi="仿宋"/>
          <w:szCs w:val="32"/>
        </w:rPr>
        <w:t>年初预算为</w:t>
      </w:r>
      <w:r>
        <w:rPr>
          <w:rFonts w:hint="eastAsia" w:ascii="仿宋_GB2312" w:hAnsi="仿宋"/>
          <w:szCs w:val="32"/>
          <w:highlight w:val="none"/>
          <w:lang w:val="en-US" w:eastAsia="zh-CN"/>
        </w:rPr>
        <w:t>122.56</w:t>
      </w:r>
      <w:r>
        <w:rPr>
          <w:rFonts w:hint="eastAsia" w:ascii="仿宋_GB2312" w:hAnsi="仿宋"/>
          <w:szCs w:val="32"/>
          <w:highlight w:val="none"/>
        </w:rPr>
        <w:t>万元</w:t>
      </w:r>
      <w:r>
        <w:rPr>
          <w:rFonts w:hint="eastAsia" w:ascii="仿宋_GB2312" w:hAnsi="仿宋"/>
          <w:szCs w:val="32"/>
        </w:rPr>
        <w:t>，支出决算为</w:t>
      </w:r>
      <w:r>
        <w:rPr>
          <w:rFonts w:ascii="仿宋_GB2312" w:hAnsi="仿宋"/>
          <w:szCs w:val="32"/>
        </w:rPr>
        <w:t>125.40</w:t>
      </w:r>
      <w:r>
        <w:rPr>
          <w:rFonts w:hint="eastAsia" w:ascii="仿宋_GB2312" w:hAnsi="仿宋"/>
          <w:szCs w:val="32"/>
        </w:rPr>
        <w:t>万元，完成年初预算</w:t>
      </w:r>
      <w:r>
        <w:rPr>
          <w:rFonts w:hint="eastAsia" w:ascii="仿宋_GB2312" w:hAnsi="仿宋"/>
          <w:szCs w:val="32"/>
          <w:highlight w:val="none"/>
        </w:rPr>
        <w:t>的</w:t>
      </w:r>
      <w:r>
        <w:rPr>
          <w:rFonts w:hint="eastAsia" w:ascii="仿宋_GB2312" w:hAnsi="仿宋"/>
          <w:szCs w:val="32"/>
          <w:highlight w:val="none"/>
          <w:lang w:val="en-US" w:eastAsia="zh-CN"/>
        </w:rPr>
        <w:t>102.32</w:t>
      </w:r>
      <w:r>
        <w:rPr>
          <w:rFonts w:hint="eastAsia" w:ascii="仿宋_GB2312" w:hAnsi="仿宋"/>
          <w:szCs w:val="32"/>
          <w:highlight w:val="none"/>
        </w:rPr>
        <w:t>%。</w:t>
      </w:r>
    </w:p>
    <w:p>
      <w:pPr>
        <w:ind w:firstLine="628" w:firstLineChars="200"/>
        <w:rPr>
          <w:rFonts w:ascii="仿宋_GB2312" w:hAnsi="仿宋"/>
          <w:szCs w:val="32"/>
        </w:rPr>
      </w:pPr>
      <w:r>
        <w:rPr>
          <w:rFonts w:hint="eastAsia" w:ascii="仿宋_GB2312" w:hAnsi="仿宋"/>
          <w:b/>
          <w:szCs w:val="32"/>
        </w:rPr>
        <w:t>（8）卫生健康支出（类）行政事业单位医疗（款）公务员医疗补助（项）</w:t>
      </w:r>
      <w:r>
        <w:rPr>
          <w:rFonts w:hint="eastAsia" w:ascii="仿宋_GB2312" w:hAnsi="仿宋"/>
          <w:szCs w:val="32"/>
        </w:rPr>
        <w:t>年初预算为</w:t>
      </w:r>
      <w:r>
        <w:rPr>
          <w:rFonts w:hint="eastAsia" w:ascii="仿宋_GB2312" w:hAnsi="仿宋"/>
          <w:szCs w:val="32"/>
          <w:highlight w:val="none"/>
        </w:rPr>
        <w:t>45.</w:t>
      </w:r>
      <w:r>
        <w:rPr>
          <w:rFonts w:hint="eastAsia" w:ascii="仿宋_GB2312" w:hAnsi="仿宋"/>
          <w:szCs w:val="32"/>
          <w:highlight w:val="none"/>
          <w:lang w:val="en-US" w:eastAsia="zh-CN"/>
        </w:rPr>
        <w:t>45</w:t>
      </w:r>
      <w:r>
        <w:rPr>
          <w:rFonts w:hint="eastAsia" w:ascii="仿宋_GB2312" w:hAnsi="仿宋"/>
          <w:szCs w:val="32"/>
          <w:highlight w:val="none"/>
        </w:rPr>
        <w:t>万元，</w:t>
      </w:r>
      <w:r>
        <w:rPr>
          <w:rFonts w:hint="eastAsia" w:ascii="仿宋_GB2312" w:hAnsi="仿宋"/>
          <w:szCs w:val="32"/>
        </w:rPr>
        <w:t>支出决算为</w:t>
      </w:r>
      <w:r>
        <w:rPr>
          <w:rFonts w:ascii="仿宋_GB2312" w:hAnsi="仿宋"/>
          <w:szCs w:val="32"/>
        </w:rPr>
        <w:t>45.77</w:t>
      </w:r>
      <w:r>
        <w:rPr>
          <w:rFonts w:hint="eastAsia" w:ascii="仿宋_GB2312" w:hAnsi="仿宋"/>
          <w:szCs w:val="32"/>
        </w:rPr>
        <w:t>万元，完成年初预算的</w:t>
      </w:r>
      <w:r>
        <w:rPr>
          <w:rFonts w:hint="eastAsia" w:ascii="仿宋_GB2312" w:hAnsi="仿宋"/>
          <w:szCs w:val="32"/>
          <w:highlight w:val="none"/>
          <w:lang w:val="en-US" w:eastAsia="zh-CN"/>
        </w:rPr>
        <w:t>100.70</w:t>
      </w:r>
      <w:r>
        <w:rPr>
          <w:rFonts w:hint="eastAsia" w:ascii="仿宋_GB2312" w:hAnsi="仿宋"/>
          <w:szCs w:val="32"/>
          <w:highlight w:val="none"/>
        </w:rPr>
        <w:t>%</w:t>
      </w:r>
      <w:r>
        <w:rPr>
          <w:rFonts w:hint="eastAsia" w:ascii="仿宋_GB2312" w:hAnsi="仿宋"/>
          <w:szCs w:val="32"/>
        </w:rPr>
        <w:t>。</w:t>
      </w:r>
    </w:p>
    <w:p>
      <w:pPr>
        <w:ind w:firstLine="628" w:firstLineChars="200"/>
        <w:rPr>
          <w:rFonts w:ascii="仿宋_GB2312" w:hAnsi="仿宋"/>
          <w:szCs w:val="32"/>
        </w:rPr>
      </w:pPr>
      <w:r>
        <w:rPr>
          <w:rFonts w:hint="eastAsia" w:ascii="仿宋_GB2312" w:hAnsi="仿宋"/>
          <w:b/>
          <w:bCs/>
          <w:szCs w:val="32"/>
        </w:rPr>
        <w:t>（9）</w:t>
      </w:r>
      <w:r>
        <w:rPr>
          <w:rFonts w:hint="eastAsia" w:ascii="仿宋_GB2312" w:hAnsi="仿宋"/>
          <w:b/>
          <w:szCs w:val="32"/>
        </w:rPr>
        <w:t>住房保障支出（类）住房改革支出（款）住房公积金（项）</w:t>
      </w:r>
      <w:r>
        <w:rPr>
          <w:rFonts w:hint="eastAsia" w:ascii="仿宋_GB2312" w:hAnsi="仿宋"/>
          <w:szCs w:val="32"/>
        </w:rPr>
        <w:t>年初预算为</w:t>
      </w:r>
      <w:r>
        <w:rPr>
          <w:rFonts w:hint="eastAsia" w:ascii="仿宋_GB2312" w:hAnsi="仿宋"/>
          <w:szCs w:val="32"/>
          <w:highlight w:val="none"/>
        </w:rPr>
        <w:t>250.</w:t>
      </w:r>
      <w:r>
        <w:rPr>
          <w:rFonts w:hint="eastAsia" w:ascii="仿宋_GB2312" w:hAnsi="仿宋"/>
          <w:szCs w:val="32"/>
          <w:highlight w:val="none"/>
          <w:lang w:val="en-US" w:eastAsia="zh-CN"/>
        </w:rPr>
        <w:t>04</w:t>
      </w:r>
      <w:r>
        <w:rPr>
          <w:rFonts w:hint="eastAsia" w:ascii="仿宋_GB2312" w:hAnsi="仿宋"/>
          <w:szCs w:val="32"/>
          <w:highlight w:val="none"/>
        </w:rPr>
        <w:t>万元</w:t>
      </w:r>
      <w:r>
        <w:rPr>
          <w:rFonts w:hint="eastAsia" w:ascii="仿宋_GB2312" w:hAnsi="仿宋"/>
          <w:szCs w:val="32"/>
        </w:rPr>
        <w:t>，支出决算为25</w:t>
      </w:r>
      <w:r>
        <w:rPr>
          <w:rFonts w:ascii="仿宋_GB2312" w:hAnsi="仿宋"/>
          <w:szCs w:val="32"/>
        </w:rPr>
        <w:t>5</w:t>
      </w:r>
      <w:r>
        <w:rPr>
          <w:rFonts w:hint="eastAsia" w:ascii="仿宋_GB2312" w:hAnsi="仿宋"/>
          <w:szCs w:val="32"/>
        </w:rPr>
        <w:t>.</w:t>
      </w:r>
      <w:r>
        <w:rPr>
          <w:rFonts w:ascii="仿宋_GB2312" w:hAnsi="仿宋"/>
          <w:szCs w:val="32"/>
        </w:rPr>
        <w:t>04</w:t>
      </w:r>
      <w:r>
        <w:rPr>
          <w:rFonts w:hint="eastAsia" w:ascii="仿宋_GB2312" w:hAnsi="仿宋"/>
          <w:szCs w:val="32"/>
        </w:rPr>
        <w:t>万元，完成年初预算的</w:t>
      </w:r>
      <w:r>
        <w:rPr>
          <w:rFonts w:hint="eastAsia" w:ascii="仿宋_GB2312" w:hAnsi="仿宋"/>
          <w:szCs w:val="32"/>
          <w:highlight w:val="none"/>
        </w:rPr>
        <w:t>100%。</w:t>
      </w:r>
    </w:p>
    <w:p>
      <w:pPr>
        <w:ind w:firstLine="628" w:firstLineChars="200"/>
        <w:rPr>
          <w:rFonts w:ascii="仿宋_GB2312" w:hAnsi="仿宋"/>
          <w:szCs w:val="32"/>
          <w:highlight w:val="none"/>
        </w:rPr>
      </w:pPr>
      <w:r>
        <w:rPr>
          <w:rFonts w:hint="eastAsia" w:ascii="仿宋_GB2312" w:hAnsi="仿宋"/>
          <w:b/>
          <w:bCs/>
          <w:szCs w:val="32"/>
        </w:rPr>
        <w:t>（10）</w:t>
      </w:r>
      <w:r>
        <w:rPr>
          <w:rFonts w:hint="eastAsia" w:ascii="仿宋_GB2312" w:hAnsi="仿宋"/>
          <w:b/>
          <w:szCs w:val="32"/>
        </w:rPr>
        <w:t>住房保障支出（类）住房改革支出（款）购房补贴（项）</w:t>
      </w:r>
      <w:r>
        <w:rPr>
          <w:rFonts w:hint="eastAsia" w:ascii="仿宋_GB2312" w:hAnsi="仿宋"/>
          <w:szCs w:val="32"/>
        </w:rPr>
        <w:t>年初预算为</w:t>
      </w:r>
      <w:r>
        <w:rPr>
          <w:rFonts w:hint="eastAsia" w:ascii="仿宋_GB2312" w:hAnsi="仿宋"/>
          <w:szCs w:val="32"/>
          <w:highlight w:val="none"/>
        </w:rPr>
        <w:t>104.21万元，支出决算为</w:t>
      </w:r>
      <w:r>
        <w:rPr>
          <w:rFonts w:ascii="仿宋_GB2312" w:hAnsi="仿宋"/>
          <w:szCs w:val="32"/>
          <w:highlight w:val="none"/>
        </w:rPr>
        <w:t>100.28</w:t>
      </w:r>
      <w:r>
        <w:rPr>
          <w:rFonts w:hint="eastAsia" w:ascii="仿宋_GB2312" w:hAnsi="仿宋"/>
          <w:szCs w:val="32"/>
          <w:highlight w:val="none"/>
        </w:rPr>
        <w:t>万元，完成年初预算的92.48%。</w:t>
      </w:r>
    </w:p>
    <w:p>
      <w:pPr>
        <w:ind w:firstLine="628" w:firstLineChars="200"/>
        <w:rPr>
          <w:rFonts w:ascii="仿宋_GB2312" w:hAnsi="仿宋"/>
          <w:szCs w:val="32"/>
        </w:rPr>
      </w:pPr>
      <w:r>
        <w:rPr>
          <w:rFonts w:hint="eastAsia" w:ascii="仿宋_GB2312" w:hAnsi="仿宋"/>
          <w:b/>
          <w:bCs/>
          <w:szCs w:val="32"/>
          <w:highlight w:val="none"/>
        </w:rPr>
        <w:t>（1</w:t>
      </w:r>
      <w:r>
        <w:rPr>
          <w:rFonts w:ascii="仿宋_GB2312" w:hAnsi="仿宋"/>
          <w:b/>
          <w:bCs/>
          <w:szCs w:val="32"/>
          <w:highlight w:val="none"/>
        </w:rPr>
        <w:t>1</w:t>
      </w:r>
      <w:r>
        <w:rPr>
          <w:rFonts w:hint="eastAsia" w:ascii="仿宋_GB2312" w:hAnsi="仿宋"/>
          <w:b/>
          <w:bCs/>
          <w:szCs w:val="32"/>
          <w:highlight w:val="none"/>
        </w:rPr>
        <w:t>）</w:t>
      </w:r>
      <w:r>
        <w:rPr>
          <w:rFonts w:hint="eastAsia" w:ascii="仿宋_GB2312" w:hAnsi="仿宋"/>
          <w:b/>
          <w:szCs w:val="32"/>
          <w:highlight w:val="none"/>
        </w:rPr>
        <w:t>住房保障支出（类）住房改革支出（款）提租补贴（项）</w:t>
      </w:r>
      <w:r>
        <w:rPr>
          <w:rFonts w:hint="eastAsia" w:ascii="仿宋_GB2312" w:hAnsi="仿宋"/>
          <w:szCs w:val="32"/>
          <w:highlight w:val="none"/>
        </w:rPr>
        <w:t>年初预算为</w:t>
      </w:r>
      <w:r>
        <w:rPr>
          <w:rFonts w:hint="eastAsia" w:ascii="仿宋_GB2312" w:hAnsi="仿宋"/>
          <w:szCs w:val="32"/>
          <w:highlight w:val="none"/>
          <w:lang w:val="en-US" w:eastAsia="zh-CN"/>
        </w:rPr>
        <w:t>106.27</w:t>
      </w:r>
      <w:r>
        <w:rPr>
          <w:rFonts w:hint="eastAsia" w:ascii="仿宋_GB2312" w:hAnsi="仿宋"/>
          <w:szCs w:val="32"/>
          <w:highlight w:val="none"/>
        </w:rPr>
        <w:t>万</w:t>
      </w:r>
      <w:r>
        <w:rPr>
          <w:rFonts w:hint="eastAsia" w:ascii="仿宋_GB2312" w:hAnsi="仿宋"/>
          <w:szCs w:val="32"/>
        </w:rPr>
        <w:t>元，支出决算为</w:t>
      </w:r>
      <w:r>
        <w:rPr>
          <w:rFonts w:hint="eastAsia" w:ascii="仿宋_GB2312" w:hAnsi="仿宋"/>
          <w:szCs w:val="32"/>
          <w:lang w:val="en-US" w:eastAsia="zh-CN"/>
        </w:rPr>
        <w:t>100.28</w:t>
      </w:r>
      <w:r>
        <w:rPr>
          <w:rFonts w:hint="eastAsia" w:ascii="仿宋_GB2312" w:hAnsi="仿宋"/>
          <w:szCs w:val="32"/>
        </w:rPr>
        <w:t>万元，完成年初预算的</w:t>
      </w:r>
      <w:r>
        <w:rPr>
          <w:rFonts w:hint="eastAsia" w:ascii="仿宋_GB2312" w:hAnsi="仿宋"/>
          <w:szCs w:val="32"/>
          <w:highlight w:val="none"/>
        </w:rPr>
        <w:t>9</w:t>
      </w:r>
      <w:r>
        <w:rPr>
          <w:rFonts w:hint="eastAsia" w:ascii="仿宋_GB2312" w:hAnsi="仿宋"/>
          <w:szCs w:val="32"/>
          <w:highlight w:val="none"/>
          <w:lang w:val="en-US" w:eastAsia="zh-CN"/>
        </w:rPr>
        <w:t>4.36</w:t>
      </w:r>
      <w:r>
        <w:rPr>
          <w:rFonts w:hint="eastAsia" w:ascii="仿宋_GB2312" w:hAnsi="仿宋"/>
          <w:szCs w:val="32"/>
          <w:highlight w:val="none"/>
        </w:rPr>
        <w:t>%</w:t>
      </w:r>
      <w:r>
        <w:rPr>
          <w:rFonts w:hint="eastAsia" w:ascii="仿宋_GB2312" w:hAnsi="仿宋"/>
          <w:szCs w:val="32"/>
        </w:rPr>
        <w:t>。</w:t>
      </w:r>
    </w:p>
    <w:p>
      <w:pPr>
        <w:ind w:firstLine="628" w:firstLineChars="200"/>
        <w:rPr>
          <w:rFonts w:ascii="黑体" w:hAnsi="仿宋" w:eastAsia="黑体"/>
          <w:szCs w:val="32"/>
        </w:rPr>
      </w:pPr>
      <w:r>
        <w:rPr>
          <w:rFonts w:hint="eastAsia" w:ascii="黑体" w:hAnsi="仿宋" w:eastAsia="黑体"/>
          <w:szCs w:val="32"/>
        </w:rPr>
        <w:t>（六）一般公共预算财政拨款基本支出决算情况说明</w:t>
      </w:r>
    </w:p>
    <w:p>
      <w:pPr>
        <w:ind w:firstLine="628" w:firstLineChars="200"/>
        <w:rPr>
          <w:rFonts w:ascii="仿宋_GB2312" w:hAnsi="仿宋"/>
          <w:szCs w:val="32"/>
        </w:rPr>
      </w:pPr>
      <w:r>
        <w:rPr>
          <w:rFonts w:hint="eastAsia" w:ascii="仿宋_GB2312" w:hAnsi="仿宋"/>
          <w:szCs w:val="32"/>
        </w:rPr>
        <w:t>202</w:t>
      </w:r>
      <w:r>
        <w:rPr>
          <w:rFonts w:ascii="仿宋_GB2312" w:hAnsi="仿宋"/>
          <w:szCs w:val="32"/>
        </w:rPr>
        <w:t>1</w:t>
      </w:r>
      <w:r>
        <w:rPr>
          <w:rFonts w:hint="eastAsia" w:ascii="仿宋_GB2312" w:hAnsi="仿宋"/>
          <w:szCs w:val="32"/>
        </w:rPr>
        <w:t>年度财政拨款基本支出</w:t>
      </w:r>
      <w:r>
        <w:rPr>
          <w:rFonts w:ascii="仿宋_GB2312" w:hAnsi="仿宋"/>
          <w:szCs w:val="32"/>
        </w:rPr>
        <w:t>4066.46</w:t>
      </w:r>
      <w:r>
        <w:rPr>
          <w:rFonts w:hint="eastAsia" w:ascii="仿宋_GB2312" w:hAnsi="仿宋"/>
          <w:szCs w:val="32"/>
        </w:rPr>
        <w:t>万元，其中：人员经费</w:t>
      </w:r>
      <w:r>
        <w:rPr>
          <w:rFonts w:ascii="仿宋_GB2312" w:hAnsi="仿宋"/>
          <w:szCs w:val="32"/>
        </w:rPr>
        <w:t>4028.09</w:t>
      </w:r>
      <w:r>
        <w:rPr>
          <w:rFonts w:hint="eastAsia" w:ascii="仿宋_GB2312" w:hAnsi="仿宋"/>
          <w:szCs w:val="32"/>
        </w:rPr>
        <w:t>万元，主要包括:基本工资、津贴补贴、奖金、伙食补助费、绩效工资、机关事业单位基本养老保险费、职业年金缴费、职工基本医疗保险缴费、公务员医疗补助缴费、其他社会保障缴费、住房公积金、其他工资福利支出、退休费、助学金、对其他个人和家庭的补助支出；公用经费</w:t>
      </w:r>
      <w:r>
        <w:rPr>
          <w:rFonts w:ascii="仿宋_GB2312" w:hAnsi="仿宋"/>
          <w:szCs w:val="32"/>
        </w:rPr>
        <w:t>38.36</w:t>
      </w:r>
      <w:r>
        <w:rPr>
          <w:rFonts w:hint="eastAsia" w:ascii="仿宋_GB2312" w:hAnsi="仿宋"/>
          <w:szCs w:val="32"/>
        </w:rPr>
        <w:t>万元，主要包括：办公费、水费、电费、邮电费、物业管理费、差旅费、培训费、工会经费、福利费、其他商品服务支出等。</w:t>
      </w:r>
    </w:p>
    <w:p>
      <w:pPr>
        <w:ind w:firstLine="628" w:firstLineChars="200"/>
        <w:rPr>
          <w:rFonts w:ascii="黑体" w:hAnsi="黑体" w:eastAsia="黑体"/>
          <w:szCs w:val="32"/>
          <w:highlight w:val="none"/>
        </w:rPr>
      </w:pPr>
      <w:r>
        <w:rPr>
          <w:rFonts w:hint="eastAsia" w:ascii="黑体" w:hAnsi="仿宋" w:eastAsia="黑体"/>
          <w:szCs w:val="32"/>
        </w:rPr>
        <w:t>（七）</w:t>
      </w:r>
      <w:r>
        <w:rPr>
          <w:rFonts w:hint="eastAsia" w:ascii="黑体" w:hAnsi="黑体" w:eastAsia="黑体"/>
          <w:szCs w:val="32"/>
          <w:highlight w:val="none"/>
        </w:rPr>
        <w:t>政府性基金财政拨款收入支出决算情况说明</w:t>
      </w:r>
    </w:p>
    <w:p>
      <w:pPr>
        <w:ind w:firstLine="628" w:firstLineChars="200"/>
        <w:rPr>
          <w:rFonts w:ascii="楷体_GB2312" w:hAnsi="仿宋" w:eastAsia="楷体_GB2312"/>
          <w:szCs w:val="32"/>
          <w:highlight w:val="none"/>
        </w:rPr>
      </w:pPr>
      <w:r>
        <w:rPr>
          <w:rFonts w:hint="eastAsia" w:ascii="楷体_GB2312" w:hAnsi="仿宋" w:eastAsia="楷体_GB2312"/>
          <w:szCs w:val="32"/>
          <w:highlight w:val="none"/>
        </w:rPr>
        <w:t>淮北市第十二中学没有政府性基金收入，也没有使用政府性基金安排的支出。</w:t>
      </w:r>
    </w:p>
    <w:p>
      <w:pPr>
        <w:ind w:firstLine="628" w:firstLineChars="200"/>
        <w:rPr>
          <w:rFonts w:ascii="黑体" w:hAnsi="仿宋" w:eastAsia="黑体"/>
          <w:szCs w:val="32"/>
          <w:highlight w:val="none"/>
        </w:rPr>
      </w:pPr>
      <w:r>
        <w:rPr>
          <w:rFonts w:hint="eastAsia" w:ascii="黑体" w:hAnsi="仿宋" w:eastAsia="黑体"/>
          <w:szCs w:val="32"/>
          <w:highlight w:val="none"/>
        </w:rPr>
        <w:t>（八）国有资本经营预算财政拨款支出情况说明</w:t>
      </w:r>
    </w:p>
    <w:p>
      <w:pPr>
        <w:ind w:firstLine="628" w:firstLineChars="200"/>
        <w:rPr>
          <w:rFonts w:ascii="楷体_GB2312" w:hAnsi="仿宋" w:eastAsia="楷体_GB2312"/>
          <w:szCs w:val="32"/>
          <w:highlight w:val="none"/>
        </w:rPr>
      </w:pPr>
      <w:r>
        <w:rPr>
          <w:rFonts w:hint="eastAsia" w:ascii="楷体_GB2312" w:hAnsi="仿宋" w:eastAsia="楷体_GB2312"/>
          <w:szCs w:val="32"/>
          <w:highlight w:val="none"/>
        </w:rPr>
        <w:t>淮北市第十二中学没有国有资本经营预算财政拨款收入，也没有使用国有资本经营预算财政拨款安排的支出。</w:t>
      </w:r>
    </w:p>
    <w:p>
      <w:pPr>
        <w:adjustRightInd w:val="0"/>
        <w:snapToGrid w:val="0"/>
        <w:spacing w:line="600" w:lineRule="exact"/>
        <w:ind w:firstLine="628" w:firstLineChars="200"/>
        <w:rPr>
          <w:rFonts w:ascii="黑体" w:hAnsi="黑体" w:eastAsia="黑体"/>
          <w:szCs w:val="32"/>
          <w:highlight w:val="none"/>
        </w:rPr>
      </w:pPr>
      <w:r>
        <w:rPr>
          <w:rFonts w:hint="eastAsia" w:ascii="黑体" w:hAnsi="黑体" w:eastAsia="黑体"/>
          <w:szCs w:val="32"/>
          <w:highlight w:val="none"/>
        </w:rPr>
        <w:t>（九）其他重要事项情况说明</w:t>
      </w:r>
    </w:p>
    <w:p>
      <w:pPr>
        <w:adjustRightInd w:val="0"/>
        <w:snapToGrid w:val="0"/>
        <w:spacing w:line="600" w:lineRule="exact"/>
        <w:ind w:firstLine="628" w:firstLineChars="200"/>
        <w:rPr>
          <w:rFonts w:hint="eastAsia" w:ascii="仿宋_GB2312" w:hAnsi="楷体"/>
          <w:b/>
          <w:szCs w:val="32"/>
        </w:rPr>
      </w:pPr>
      <w:r>
        <w:rPr>
          <w:rFonts w:hint="eastAsia" w:ascii="仿宋_GB2312" w:hAnsi="楷体"/>
          <w:b/>
          <w:szCs w:val="32"/>
        </w:rPr>
        <w:t>1、机关运行经费支出情况。</w:t>
      </w:r>
    </w:p>
    <w:p>
      <w:pPr>
        <w:adjustRightInd w:val="0"/>
        <w:snapToGrid w:val="0"/>
        <w:spacing w:line="600" w:lineRule="exact"/>
        <w:ind w:firstLine="628" w:firstLineChars="200"/>
        <w:rPr>
          <w:rFonts w:hint="eastAsia" w:ascii="仿宋_GB2312" w:hAnsi="仿宋"/>
          <w:szCs w:val="32"/>
        </w:rPr>
      </w:pPr>
      <w:r>
        <w:rPr>
          <w:rFonts w:hint="eastAsia" w:ascii="仿宋_GB2312" w:hAnsi="仿宋"/>
          <w:szCs w:val="32"/>
        </w:rPr>
        <w:t>2</w:t>
      </w:r>
      <w:r>
        <w:rPr>
          <w:rFonts w:hint="eastAsia" w:ascii="仿宋_GB2312" w:hAnsi="仿宋"/>
          <w:szCs w:val="32"/>
        </w:rPr>
        <w:t>021年度，淮北市第十二中学机关运行经费支出</w:t>
      </w:r>
      <w:r>
        <w:rPr>
          <w:rFonts w:hint="eastAsia" w:ascii="仿宋_GB2312" w:hAnsi="仿宋"/>
          <w:szCs w:val="32"/>
          <w:lang w:val="en-US" w:eastAsia="zh-CN"/>
        </w:rPr>
        <w:t>0</w:t>
      </w:r>
      <w:r>
        <w:rPr>
          <w:rFonts w:hint="eastAsia" w:ascii="仿宋_GB2312" w:hAnsi="仿宋"/>
          <w:szCs w:val="32"/>
        </w:rPr>
        <w:t>万元，比2020年增加（减少）</w:t>
      </w:r>
      <w:r>
        <w:rPr>
          <w:rFonts w:hint="eastAsia" w:ascii="仿宋_GB2312" w:hAnsi="仿宋"/>
          <w:szCs w:val="32"/>
          <w:lang w:val="en-US" w:eastAsia="zh-CN"/>
        </w:rPr>
        <w:t>0</w:t>
      </w:r>
      <w:r>
        <w:rPr>
          <w:rFonts w:hint="eastAsia" w:ascii="仿宋_GB2312" w:hAnsi="仿宋"/>
          <w:szCs w:val="32"/>
        </w:rPr>
        <w:t>万元，增长（下降）</w:t>
      </w:r>
      <w:r>
        <w:rPr>
          <w:rFonts w:hint="eastAsia" w:ascii="仿宋_GB2312" w:hAnsi="仿宋"/>
          <w:szCs w:val="32"/>
          <w:lang w:val="en-US" w:eastAsia="zh-CN"/>
        </w:rPr>
        <w:t>0</w:t>
      </w:r>
      <w:r>
        <w:rPr>
          <w:rFonts w:hint="eastAsia" w:ascii="仿宋_GB2312" w:hAnsi="仿宋"/>
          <w:szCs w:val="32"/>
        </w:rPr>
        <w:t>%，主要原因是</w:t>
      </w:r>
      <w:r>
        <w:rPr>
          <w:rFonts w:hint="eastAsia" w:ascii="仿宋_GB2312" w:hAnsi="仿宋"/>
          <w:szCs w:val="32"/>
          <w:lang w:val="en-US" w:eastAsia="zh-CN"/>
        </w:rPr>
        <w:t>我校无机关运行经费支出</w:t>
      </w:r>
      <w:r>
        <w:rPr>
          <w:rFonts w:hint="eastAsia" w:ascii="仿宋_GB2312" w:hAnsi="仿宋"/>
          <w:szCs w:val="32"/>
        </w:rPr>
        <w:t>。</w:t>
      </w:r>
    </w:p>
    <w:p>
      <w:pPr>
        <w:adjustRightInd w:val="0"/>
        <w:snapToGrid w:val="0"/>
        <w:spacing w:line="600" w:lineRule="exact"/>
        <w:ind w:firstLine="628" w:firstLineChars="200"/>
        <w:rPr>
          <w:rFonts w:ascii="仿宋_GB2312" w:hAnsi="楷体"/>
          <w:b/>
          <w:szCs w:val="32"/>
        </w:rPr>
      </w:pPr>
      <w:r>
        <w:rPr>
          <w:rFonts w:hint="eastAsia" w:ascii="仿宋_GB2312" w:hAnsi="楷体"/>
          <w:b/>
          <w:szCs w:val="32"/>
          <w:lang w:val="en-US" w:eastAsia="zh-CN"/>
        </w:rPr>
        <w:t>2</w:t>
      </w:r>
      <w:r>
        <w:rPr>
          <w:rFonts w:hint="eastAsia" w:ascii="仿宋_GB2312" w:hAnsi="楷体"/>
          <w:b/>
          <w:szCs w:val="32"/>
        </w:rPr>
        <w:t>、政府采购支出情况。</w:t>
      </w:r>
    </w:p>
    <w:p>
      <w:pPr>
        <w:adjustRightInd w:val="0"/>
        <w:snapToGrid w:val="0"/>
        <w:spacing w:line="600" w:lineRule="exact"/>
        <w:ind w:firstLine="628" w:firstLineChars="200"/>
        <w:rPr>
          <w:rFonts w:ascii="仿宋_GB2312" w:hAnsi="仿宋"/>
          <w:szCs w:val="32"/>
        </w:rPr>
      </w:pPr>
      <w:r>
        <w:rPr>
          <w:rFonts w:hint="eastAsia" w:ascii="仿宋_GB2312" w:hAnsi="仿宋"/>
          <w:szCs w:val="32"/>
        </w:rPr>
        <w:t>202</w:t>
      </w:r>
      <w:r>
        <w:rPr>
          <w:rFonts w:ascii="仿宋_GB2312" w:hAnsi="仿宋"/>
          <w:szCs w:val="32"/>
        </w:rPr>
        <w:t>1</w:t>
      </w:r>
      <w:r>
        <w:rPr>
          <w:rFonts w:hint="eastAsia" w:ascii="仿宋_GB2312" w:hAnsi="仿宋"/>
          <w:szCs w:val="32"/>
        </w:rPr>
        <w:t>年度，淮北市第十二中学政府采购支出总额</w:t>
      </w:r>
      <w:r>
        <w:rPr>
          <w:rFonts w:hint="eastAsia" w:ascii="仿宋_GB2312" w:hAnsi="仿宋"/>
          <w:szCs w:val="32"/>
          <w:highlight w:val="none"/>
        </w:rPr>
        <w:t>229.78万元，其中：政府采购货物支出182.2万元、政府采购服务支出47.58万元。</w:t>
      </w:r>
    </w:p>
    <w:p>
      <w:pPr>
        <w:adjustRightInd w:val="0"/>
        <w:snapToGrid w:val="0"/>
        <w:spacing w:line="600" w:lineRule="exact"/>
        <w:ind w:firstLine="628" w:firstLineChars="200"/>
        <w:rPr>
          <w:rFonts w:ascii="仿宋_GB2312" w:hAnsi="楷体"/>
          <w:b/>
          <w:szCs w:val="32"/>
        </w:rPr>
      </w:pPr>
      <w:r>
        <w:rPr>
          <w:rFonts w:hint="eastAsia" w:ascii="仿宋_GB2312" w:hAnsi="楷体"/>
          <w:b/>
          <w:szCs w:val="32"/>
          <w:lang w:val="en-US" w:eastAsia="zh-CN"/>
        </w:rPr>
        <w:t>3</w:t>
      </w:r>
      <w:r>
        <w:rPr>
          <w:rFonts w:hint="eastAsia" w:ascii="仿宋_GB2312" w:hAnsi="楷体"/>
          <w:b/>
          <w:szCs w:val="32"/>
        </w:rPr>
        <w:t>、国有资产占有使用情况。</w:t>
      </w:r>
    </w:p>
    <w:p>
      <w:pPr>
        <w:adjustRightInd w:val="0"/>
        <w:snapToGrid w:val="0"/>
        <w:spacing w:line="600" w:lineRule="exact"/>
        <w:ind w:firstLine="628" w:firstLineChars="200"/>
        <w:rPr>
          <w:rFonts w:ascii="仿宋_GB2312" w:hAnsi="仿宋"/>
          <w:b/>
          <w:bCs/>
          <w:szCs w:val="32"/>
        </w:rPr>
      </w:pPr>
      <w:r>
        <w:rPr>
          <w:rFonts w:hint="eastAsia" w:ascii="仿宋_GB2312" w:hAnsi="楷体"/>
          <w:szCs w:val="32"/>
        </w:rPr>
        <w:t>截至202</w:t>
      </w:r>
      <w:r>
        <w:rPr>
          <w:rFonts w:ascii="仿宋_GB2312" w:hAnsi="楷体"/>
          <w:szCs w:val="32"/>
        </w:rPr>
        <w:t>1</w:t>
      </w:r>
      <w:r>
        <w:rPr>
          <w:rFonts w:hint="eastAsia" w:ascii="仿宋_GB2312" w:hAnsi="楷体"/>
          <w:szCs w:val="32"/>
        </w:rPr>
        <w:t>年12月31日，</w:t>
      </w:r>
      <w:r>
        <w:rPr>
          <w:rFonts w:hint="eastAsia" w:ascii="仿宋_GB2312" w:hAnsi="仿宋"/>
          <w:szCs w:val="32"/>
          <w:highlight w:val="none"/>
        </w:rPr>
        <w:t>淮北市第一中学共有车辆0辆；单价50万元以上的通用设备0台（套），单价100万元以上专用设备0台（套）。</w:t>
      </w:r>
      <w:r>
        <w:rPr>
          <w:rFonts w:ascii="仿宋_GB2312" w:hAnsi="仿宋"/>
          <w:szCs w:val="32"/>
        </w:rPr>
        <w:br w:type="textWrapping"/>
      </w:r>
      <w:r>
        <w:rPr>
          <w:rFonts w:hint="eastAsia" w:ascii="仿宋_GB2312" w:hAnsi="仿宋"/>
          <w:szCs w:val="32"/>
        </w:rPr>
        <w:t xml:space="preserve"> </w:t>
      </w:r>
      <w:r>
        <w:rPr>
          <w:rFonts w:hint="eastAsia" w:ascii="仿宋_GB2312" w:hAnsi="仿宋"/>
          <w:b/>
          <w:bCs/>
          <w:i/>
          <w:iCs/>
          <w:szCs w:val="32"/>
        </w:rPr>
        <w:t xml:space="preserve"> </w:t>
      </w:r>
      <w:r>
        <w:rPr>
          <w:rFonts w:hint="eastAsia" w:ascii="仿宋_GB2312" w:hAnsi="仿宋"/>
          <w:szCs w:val="32"/>
        </w:rPr>
        <w:t xml:space="preserve">  </w:t>
      </w:r>
      <w:r>
        <w:rPr>
          <w:rFonts w:hint="eastAsia" w:ascii="仿宋_GB2312" w:hAnsi="仿宋"/>
          <w:b/>
          <w:bCs/>
          <w:szCs w:val="32"/>
          <w:lang w:val="en-US" w:eastAsia="zh-CN"/>
        </w:rPr>
        <w:t>4</w:t>
      </w:r>
      <w:bookmarkStart w:id="0" w:name="_GoBack"/>
      <w:bookmarkEnd w:id="0"/>
      <w:r>
        <w:rPr>
          <w:rFonts w:hint="eastAsia" w:ascii="仿宋_GB2312" w:hAnsi="仿宋"/>
          <w:b/>
          <w:bCs/>
          <w:szCs w:val="32"/>
        </w:rPr>
        <w:t>、关于202</w:t>
      </w:r>
      <w:r>
        <w:rPr>
          <w:rFonts w:ascii="仿宋_GB2312" w:hAnsi="仿宋"/>
          <w:b/>
          <w:bCs/>
          <w:szCs w:val="32"/>
        </w:rPr>
        <w:t>1</w:t>
      </w:r>
      <w:r>
        <w:rPr>
          <w:rFonts w:hint="eastAsia" w:ascii="仿宋_GB2312" w:hAnsi="仿宋"/>
          <w:b/>
          <w:bCs/>
          <w:szCs w:val="32"/>
        </w:rPr>
        <w:t>年度预算绩效情况说明</w:t>
      </w:r>
    </w:p>
    <w:p>
      <w:pPr>
        <w:ind w:firstLine="314" w:firstLineChars="100"/>
        <w:rPr>
          <w:rFonts w:ascii="仿宋_GB2312" w:hAnsi="仿宋_GB2312" w:cs="仿宋_GB2312"/>
          <w:b/>
          <w:bCs/>
          <w:szCs w:val="32"/>
        </w:rPr>
      </w:pPr>
      <w:r>
        <w:rPr>
          <w:rFonts w:hint="eastAsia" w:ascii="仿宋_GB2312" w:hAnsi="仿宋_GB2312" w:cs="仿宋_GB2312"/>
          <w:b/>
          <w:bCs/>
          <w:szCs w:val="32"/>
        </w:rPr>
        <w:t>（1）预算绩效管理工作开展情况</w:t>
      </w:r>
    </w:p>
    <w:p>
      <w:pPr>
        <w:ind w:firstLine="628" w:firstLineChars="200"/>
        <w:rPr>
          <w:rFonts w:ascii="仿宋_GB2312" w:hAnsi="仿宋_GB2312" w:cs="仿宋_GB2312"/>
          <w:szCs w:val="32"/>
          <w:highlight w:val="none"/>
        </w:rPr>
      </w:pPr>
      <w:r>
        <w:rPr>
          <w:rFonts w:hint="eastAsia" w:ascii="仿宋_GB2312" w:hAnsi="仿宋_GB2312" w:cs="仿宋_GB2312"/>
          <w:szCs w:val="32"/>
          <w:highlight w:val="none"/>
        </w:rPr>
        <w:t>根据预算绩效管理要求，我校组织对</w:t>
      </w:r>
      <w:r>
        <w:rPr>
          <w:rFonts w:ascii="仿宋_GB2312" w:hAnsi="仿宋_GB2312" w:cs="仿宋_GB2312"/>
          <w:szCs w:val="32"/>
          <w:highlight w:val="none"/>
        </w:rPr>
        <w:t>2</w:t>
      </w:r>
      <w:r>
        <w:rPr>
          <w:rFonts w:hint="eastAsia" w:ascii="仿宋_GB2312" w:hAnsi="仿宋_GB2312" w:cs="仿宋_GB2312"/>
          <w:szCs w:val="32"/>
          <w:highlight w:val="none"/>
        </w:rPr>
        <w:t>020年度纳入部门预算的项目支出全面开展了绩效自评，共3个项目，涉及资金714.71万元，占项目预算总额的100</w:t>
      </w:r>
      <w:r>
        <w:rPr>
          <w:rFonts w:ascii="仿宋_GB2312" w:hAnsi="仿宋_GB2312" w:cs="仿宋_GB2312"/>
          <w:szCs w:val="32"/>
          <w:highlight w:val="none"/>
        </w:rPr>
        <w:t>%</w:t>
      </w:r>
      <w:r>
        <w:rPr>
          <w:rFonts w:hint="eastAsia" w:ascii="仿宋_GB2312" w:hAnsi="仿宋_GB2312" w:cs="仿宋_GB2312"/>
          <w:szCs w:val="32"/>
          <w:highlight w:val="none"/>
        </w:rPr>
        <w:t>。评价结果显示达到了预期绩效目标。</w:t>
      </w:r>
    </w:p>
    <w:p>
      <w:pPr>
        <w:ind w:firstLine="628" w:firstLineChars="200"/>
        <w:rPr>
          <w:rFonts w:ascii="仿宋_GB2312" w:hAnsi="仿宋_GB2312" w:cs="仿宋_GB2312"/>
          <w:szCs w:val="32"/>
          <w:highlight w:val="none"/>
        </w:rPr>
      </w:pPr>
      <w:r>
        <w:rPr>
          <w:rFonts w:hint="eastAsia" w:ascii="仿宋_GB2312" w:hAnsi="仿宋_GB2312" w:cs="仿宋_GB2312"/>
          <w:szCs w:val="32"/>
          <w:highlight w:val="none"/>
        </w:rPr>
        <w:t>我校共组织对“</w:t>
      </w:r>
      <w:r>
        <w:rPr>
          <w:rFonts w:hint="eastAsia" w:ascii="仿宋_GB2312" w:hAnsi="仿宋_GB2312" w:cs="仿宋_GB2312"/>
          <w:bCs/>
          <w:szCs w:val="32"/>
          <w:highlight w:val="none"/>
        </w:rPr>
        <w:t>办公水电维修</w:t>
      </w:r>
      <w:r>
        <w:rPr>
          <w:rFonts w:hint="eastAsia" w:ascii="仿宋_GB2312" w:hAnsi="仿宋_GB2312" w:cs="仿宋_GB2312"/>
          <w:szCs w:val="32"/>
          <w:highlight w:val="none"/>
        </w:rPr>
        <w:t>”等3个项目开展了部门绩效评价，涉及资金714.71万元。该项目开展绩效评价的组织方式是部门自主实施。从评价情况看，概括表述绩效评价情况，达到了预期绩效目标。</w:t>
      </w:r>
    </w:p>
    <w:p>
      <w:pPr>
        <w:ind w:firstLine="628" w:firstLineChars="200"/>
        <w:rPr>
          <w:rFonts w:ascii="仿宋_GB2312" w:hAnsi="仿宋_GB2312" w:cs="仿宋_GB2312"/>
          <w:szCs w:val="32"/>
        </w:rPr>
      </w:pPr>
      <w:r>
        <w:rPr>
          <w:rFonts w:hint="eastAsia" w:ascii="仿宋_GB2312" w:hAnsi="仿宋_GB2312" w:cs="仿宋_GB2312"/>
          <w:szCs w:val="32"/>
          <w:highlight w:val="none"/>
        </w:rPr>
        <w:t>组织开展</w:t>
      </w:r>
      <w:r>
        <w:rPr>
          <w:rFonts w:ascii="仿宋_GB2312" w:hAnsi="仿宋_GB2312" w:cs="仿宋_GB2312"/>
          <w:szCs w:val="32"/>
          <w:highlight w:val="none"/>
        </w:rPr>
        <w:t>20</w:t>
      </w:r>
      <w:r>
        <w:rPr>
          <w:rFonts w:hint="eastAsia" w:ascii="仿宋_GB2312" w:hAnsi="仿宋_GB2312" w:cs="仿宋_GB2312"/>
          <w:szCs w:val="32"/>
          <w:highlight w:val="none"/>
        </w:rPr>
        <w:t>20年度部门整体支出绩效自评。评价结果显示，项目达到了预期绩效目标。</w:t>
      </w:r>
    </w:p>
    <w:p>
      <w:pPr>
        <w:adjustRightInd w:val="0"/>
        <w:snapToGrid w:val="0"/>
        <w:spacing w:line="600" w:lineRule="exact"/>
        <w:ind w:firstLine="628" w:firstLineChars="200"/>
        <w:rPr>
          <w:rFonts w:ascii="黑体" w:hAnsi="黑体" w:eastAsia="黑体"/>
          <w:szCs w:val="32"/>
        </w:rPr>
      </w:pPr>
      <w:r>
        <w:rPr>
          <w:rFonts w:hint="eastAsia" w:ascii="黑体" w:hAnsi="黑体" w:eastAsia="黑体"/>
          <w:szCs w:val="32"/>
        </w:rPr>
        <w:t>第四部分 名词解释</w:t>
      </w:r>
    </w:p>
    <w:p>
      <w:pPr>
        <w:adjustRightInd w:val="0"/>
        <w:snapToGrid w:val="0"/>
        <w:spacing w:line="600" w:lineRule="exact"/>
        <w:ind w:left="425" w:firstLine="201" w:firstLineChars="64"/>
        <w:rPr>
          <w:rFonts w:ascii="仿宋_GB2312" w:hAnsi="仿宋"/>
          <w:szCs w:val="32"/>
        </w:rPr>
      </w:pPr>
      <w:r>
        <w:rPr>
          <w:rFonts w:hint="eastAsia" w:ascii="仿宋_GB2312" w:hAnsi="仿宋"/>
          <w:b/>
          <w:szCs w:val="32"/>
        </w:rPr>
        <w:t>一、财政拨款收入：</w:t>
      </w:r>
      <w:r>
        <w:rPr>
          <w:rFonts w:hint="eastAsia" w:ascii="仿宋_GB2312" w:hAnsi="仿宋"/>
          <w:szCs w:val="32"/>
        </w:rPr>
        <w:t>指单位从同级财政部门取得的财政预算资金。</w:t>
      </w:r>
    </w:p>
    <w:p>
      <w:pPr>
        <w:adjustRightInd w:val="0"/>
        <w:snapToGrid w:val="0"/>
        <w:spacing w:line="600" w:lineRule="exact"/>
        <w:ind w:firstLine="628" w:firstLineChars="200"/>
        <w:rPr>
          <w:rFonts w:ascii="仿宋_GB2312" w:hAnsi="仿宋"/>
          <w:szCs w:val="32"/>
        </w:rPr>
      </w:pPr>
      <w:r>
        <w:rPr>
          <w:rFonts w:hint="eastAsia" w:ascii="仿宋_GB2312" w:hAnsi="仿宋"/>
          <w:b/>
          <w:bCs/>
          <w:szCs w:val="32"/>
        </w:rPr>
        <w:t>二、事业收入：</w:t>
      </w:r>
      <w:r>
        <w:rPr>
          <w:rFonts w:hint="eastAsia" w:ascii="仿宋_GB2312" w:hAnsi="仿宋"/>
          <w:szCs w:val="32"/>
        </w:rPr>
        <w:t>指事业单位开展专业业务活动及辅助活动所取得的收入。</w:t>
      </w:r>
    </w:p>
    <w:p>
      <w:pPr>
        <w:pStyle w:val="7"/>
        <w:adjustRightInd w:val="0"/>
        <w:snapToGrid w:val="0"/>
        <w:spacing w:line="600" w:lineRule="exact"/>
        <w:ind w:firstLine="616" w:firstLineChars="196"/>
        <w:rPr>
          <w:rFonts w:ascii="仿宋_GB2312" w:hAnsi="黑体"/>
          <w:b/>
          <w:bCs/>
          <w:szCs w:val="32"/>
        </w:rPr>
      </w:pPr>
      <w:r>
        <w:rPr>
          <w:rFonts w:hint="eastAsia" w:ascii="仿宋_GB2312" w:hAnsi="黑体" w:eastAsia="仿宋_GB2312"/>
          <w:b/>
          <w:sz w:val="32"/>
          <w:szCs w:val="32"/>
        </w:rPr>
        <w:t>三、</w:t>
      </w:r>
      <w:r>
        <w:rPr>
          <w:rFonts w:hint="eastAsia" w:ascii="仿宋_GB2312" w:hAnsi="黑体" w:eastAsia="仿宋_GB2312"/>
          <w:b/>
          <w:bCs/>
          <w:sz w:val="32"/>
          <w:szCs w:val="32"/>
        </w:rPr>
        <w:t>上级补助收入：</w:t>
      </w:r>
      <w:r>
        <w:rPr>
          <w:rFonts w:hint="eastAsia" w:ascii="仿宋_GB2312" w:hAnsi="黑体" w:eastAsia="仿宋_GB2312"/>
          <w:bCs/>
          <w:sz w:val="32"/>
          <w:szCs w:val="32"/>
        </w:rPr>
        <w:t>指</w:t>
      </w:r>
      <w:r>
        <w:rPr>
          <w:rFonts w:hint="eastAsia" w:ascii="仿宋_GB2312" w:hAnsi="仿宋" w:eastAsia="仿宋_GB2312" w:cs="Times New Roman"/>
          <w:kern w:val="2"/>
          <w:sz w:val="32"/>
          <w:szCs w:val="32"/>
        </w:rPr>
        <w:t>事业单位从主管部门和上级单位取得的非财政补助收入。</w:t>
      </w:r>
    </w:p>
    <w:p>
      <w:pPr>
        <w:pStyle w:val="7"/>
        <w:adjustRightInd w:val="0"/>
        <w:snapToGrid w:val="0"/>
        <w:spacing w:before="0" w:beforeAutospacing="0" w:after="0" w:afterAutospacing="0" w:line="600" w:lineRule="exact"/>
        <w:ind w:firstLine="616" w:firstLineChars="196"/>
        <w:rPr>
          <w:rFonts w:ascii="仿宋_GB2312" w:hAnsi="黑体" w:eastAsia="仿宋_GB2312"/>
          <w:bCs/>
          <w:sz w:val="32"/>
          <w:szCs w:val="32"/>
        </w:rPr>
      </w:pPr>
      <w:r>
        <w:rPr>
          <w:rFonts w:hint="eastAsia" w:ascii="仿宋_GB2312" w:hAnsi="黑体" w:eastAsia="仿宋_GB2312"/>
          <w:b/>
          <w:bCs/>
          <w:sz w:val="32"/>
          <w:szCs w:val="32"/>
        </w:rPr>
        <w:t>四、附属单位上缴收入：</w:t>
      </w:r>
      <w:r>
        <w:rPr>
          <w:rFonts w:hint="eastAsia" w:ascii="仿宋_GB2312" w:hAnsi="黑体" w:eastAsia="仿宋_GB2312"/>
          <w:bCs/>
          <w:sz w:val="32"/>
          <w:szCs w:val="32"/>
        </w:rPr>
        <w:t>指事业单位附属独立核算单位按照有关规定上缴的收入。</w:t>
      </w:r>
    </w:p>
    <w:p>
      <w:pPr>
        <w:pStyle w:val="7"/>
        <w:adjustRightInd w:val="0"/>
        <w:snapToGrid w:val="0"/>
        <w:spacing w:before="0" w:beforeAutospacing="0" w:after="0" w:afterAutospacing="0" w:line="600" w:lineRule="exact"/>
        <w:ind w:firstLine="616" w:firstLineChars="196"/>
        <w:rPr>
          <w:rFonts w:ascii="仿宋_GB2312" w:hAnsi="黑体" w:eastAsia="仿宋_GB2312"/>
          <w:bCs/>
          <w:sz w:val="32"/>
          <w:szCs w:val="32"/>
        </w:rPr>
      </w:pPr>
      <w:r>
        <w:rPr>
          <w:rFonts w:hint="eastAsia" w:ascii="仿宋_GB2312" w:hAnsi="黑体" w:eastAsia="仿宋_GB2312"/>
          <w:b/>
          <w:bCs/>
          <w:sz w:val="32"/>
          <w:szCs w:val="32"/>
        </w:rPr>
        <w:t>五、经营收入</w:t>
      </w:r>
      <w:r>
        <w:rPr>
          <w:rFonts w:hint="eastAsia"/>
          <w:b/>
          <w:bCs/>
        </w:rPr>
        <w:t>：</w:t>
      </w:r>
      <w:r>
        <w:rPr>
          <w:rFonts w:hint="eastAsia" w:ascii="仿宋_GB2312" w:hAnsi="黑体" w:eastAsia="仿宋_GB2312"/>
          <w:bCs/>
          <w:sz w:val="32"/>
          <w:szCs w:val="32"/>
        </w:rPr>
        <w:t>指事业单位在专业业务活动及其辅助活动之外开展非独立核算经营活动取得的收入。</w:t>
      </w:r>
    </w:p>
    <w:p>
      <w:pPr>
        <w:pStyle w:val="7"/>
        <w:adjustRightInd w:val="0"/>
        <w:snapToGrid w:val="0"/>
        <w:spacing w:line="600" w:lineRule="exact"/>
        <w:ind w:firstLine="616" w:firstLineChars="196"/>
        <w:rPr>
          <w:rFonts w:ascii="仿宋_GB2312" w:hAnsi="黑体"/>
          <w:b/>
          <w:bCs/>
          <w:szCs w:val="32"/>
        </w:rPr>
      </w:pPr>
      <w:r>
        <w:rPr>
          <w:rFonts w:hint="eastAsia" w:ascii="仿宋_GB2312" w:hAnsi="黑体" w:eastAsia="仿宋_GB2312"/>
          <w:b/>
          <w:sz w:val="32"/>
          <w:szCs w:val="32"/>
        </w:rPr>
        <w:t>六、</w:t>
      </w:r>
      <w:r>
        <w:rPr>
          <w:rFonts w:hint="eastAsia" w:ascii="仿宋_GB2312" w:hAnsi="黑体" w:eastAsia="仿宋_GB2312"/>
          <w:b/>
          <w:bCs/>
          <w:sz w:val="32"/>
          <w:szCs w:val="32"/>
        </w:rPr>
        <w:t>其他收入：</w:t>
      </w:r>
      <w:r>
        <w:rPr>
          <w:rFonts w:hint="eastAsia" w:ascii="仿宋_GB2312" w:hAnsi="黑体" w:eastAsia="仿宋_GB2312"/>
          <w:bCs/>
          <w:sz w:val="32"/>
          <w:szCs w:val="32"/>
        </w:rPr>
        <w:t>指除财政拨款收入、事业收入、上级补助收入、附属单位上缴收入、经营收入以外的各项收入。</w:t>
      </w:r>
    </w:p>
    <w:p>
      <w:pPr>
        <w:pStyle w:val="7"/>
        <w:adjustRightInd w:val="0"/>
        <w:snapToGrid w:val="0"/>
        <w:spacing w:before="0" w:beforeAutospacing="0" w:after="0" w:afterAutospacing="0" w:line="600" w:lineRule="exact"/>
        <w:ind w:firstLine="616" w:firstLineChars="196"/>
        <w:rPr>
          <w:rFonts w:ascii="仿宋_GB2312" w:hAnsi="黑体" w:eastAsia="仿宋_GB2312"/>
          <w:bCs/>
          <w:sz w:val="32"/>
          <w:szCs w:val="32"/>
        </w:rPr>
      </w:pPr>
      <w:r>
        <w:rPr>
          <w:rFonts w:hint="eastAsia" w:ascii="仿宋_GB2312" w:hAnsi="黑体" w:eastAsia="仿宋_GB2312"/>
          <w:b/>
          <w:bCs/>
          <w:sz w:val="32"/>
          <w:szCs w:val="32"/>
        </w:rPr>
        <w:t>七、年初结转和结余：</w:t>
      </w:r>
      <w:r>
        <w:rPr>
          <w:rFonts w:hint="eastAsia" w:ascii="仿宋_GB2312" w:hAnsi="黑体" w:eastAsia="仿宋_GB2312"/>
          <w:bCs/>
          <w:sz w:val="32"/>
          <w:szCs w:val="32"/>
        </w:rPr>
        <w:t>指以前年度安排、结转到本年仍按原规定用途继续使用的资金。</w:t>
      </w:r>
    </w:p>
    <w:p>
      <w:pPr>
        <w:pStyle w:val="7"/>
        <w:adjustRightInd w:val="0"/>
        <w:snapToGrid w:val="0"/>
        <w:spacing w:before="0" w:beforeAutospacing="0" w:after="0" w:afterAutospacing="0" w:line="600" w:lineRule="exact"/>
        <w:ind w:firstLine="616" w:firstLineChars="196"/>
        <w:rPr>
          <w:rFonts w:ascii="仿宋_GB2312" w:hAnsi="黑体" w:eastAsia="仿宋_GB2312"/>
          <w:bCs/>
          <w:sz w:val="32"/>
          <w:szCs w:val="32"/>
        </w:rPr>
      </w:pPr>
      <w:r>
        <w:rPr>
          <w:rFonts w:hint="eastAsia" w:ascii="仿宋_GB2312" w:hAnsi="黑体" w:eastAsia="仿宋_GB2312"/>
          <w:b/>
          <w:bCs/>
          <w:sz w:val="32"/>
          <w:szCs w:val="32"/>
        </w:rPr>
        <w:t>八、结余分配：</w:t>
      </w:r>
      <w:r>
        <w:rPr>
          <w:rFonts w:hint="eastAsia" w:ascii="仿宋_GB2312" w:hAnsi="黑体" w:eastAsia="仿宋_GB2312"/>
          <w:bCs/>
          <w:sz w:val="32"/>
          <w:szCs w:val="32"/>
        </w:rPr>
        <w:t>指事业单位按照会计制度规定缴纳的所得税以及从非财政拨款结余中提取的职工福利基金、事业基金等。</w:t>
      </w:r>
    </w:p>
    <w:p>
      <w:pPr>
        <w:pStyle w:val="7"/>
        <w:adjustRightInd w:val="0"/>
        <w:snapToGrid w:val="0"/>
        <w:spacing w:before="0" w:beforeAutospacing="0" w:after="0" w:afterAutospacing="0" w:line="600" w:lineRule="exact"/>
        <w:ind w:firstLine="616" w:firstLineChars="196"/>
        <w:rPr>
          <w:rFonts w:ascii="仿宋_GB2312" w:hAnsi="黑体" w:eastAsia="仿宋_GB2312"/>
          <w:b/>
          <w:sz w:val="32"/>
          <w:szCs w:val="32"/>
        </w:rPr>
      </w:pPr>
      <w:r>
        <w:rPr>
          <w:rFonts w:hint="eastAsia" w:ascii="仿宋_GB2312" w:hAnsi="黑体" w:eastAsia="仿宋_GB2312"/>
          <w:b/>
          <w:bCs/>
          <w:sz w:val="32"/>
          <w:szCs w:val="32"/>
        </w:rPr>
        <w:t>九、年末结转和结余：</w:t>
      </w:r>
      <w:r>
        <w:rPr>
          <w:rFonts w:hint="eastAsia" w:ascii="仿宋_GB2312" w:hAnsi="黑体" w:eastAsia="仿宋_GB2312"/>
          <w:bCs/>
          <w:sz w:val="32"/>
          <w:szCs w:val="32"/>
        </w:rPr>
        <w:t>指单位本年度或以前年度预算安排、因客观条件发生变化未全部执行或未执行，结转到以后年度继续使用的资金，或项目已经完成等产生的结余资金。</w:t>
      </w:r>
    </w:p>
    <w:p>
      <w:pPr>
        <w:pStyle w:val="7"/>
        <w:adjustRightInd w:val="0"/>
        <w:snapToGrid w:val="0"/>
        <w:spacing w:before="0" w:beforeAutospacing="0" w:after="0" w:afterAutospacing="0" w:line="600" w:lineRule="exact"/>
        <w:ind w:firstLine="616" w:firstLineChars="196"/>
        <w:rPr>
          <w:rFonts w:ascii="仿宋_GB2312" w:hAnsi="黑体" w:eastAsia="仿宋_GB2312"/>
          <w:sz w:val="32"/>
          <w:szCs w:val="32"/>
        </w:rPr>
      </w:pPr>
      <w:r>
        <w:rPr>
          <w:rFonts w:hint="eastAsia" w:ascii="仿宋_GB2312" w:hAnsi="黑体" w:eastAsia="仿宋_GB2312"/>
          <w:b/>
          <w:sz w:val="32"/>
          <w:szCs w:val="32"/>
        </w:rPr>
        <w:t>十、基本支出：</w:t>
      </w:r>
      <w:r>
        <w:rPr>
          <w:rFonts w:hint="eastAsia" w:ascii="仿宋_GB2312" w:hAnsi="黑体" w:eastAsia="仿宋_GB2312"/>
          <w:sz w:val="32"/>
          <w:szCs w:val="32"/>
        </w:rPr>
        <w:t>指单位为保障其机构正常运转、完成日常工作任务而发生的人员支出和公用支出。</w:t>
      </w:r>
    </w:p>
    <w:p>
      <w:pPr>
        <w:pStyle w:val="7"/>
        <w:spacing w:before="0" w:beforeAutospacing="0" w:after="0" w:afterAutospacing="0" w:line="600" w:lineRule="exact"/>
        <w:ind w:firstLine="616" w:firstLineChars="196"/>
        <w:jc w:val="both"/>
        <w:rPr>
          <w:rFonts w:ascii="仿宋_GB2312" w:hAnsi="黑体" w:eastAsia="仿宋_GB2312"/>
          <w:sz w:val="32"/>
          <w:szCs w:val="32"/>
        </w:rPr>
      </w:pPr>
      <w:r>
        <w:rPr>
          <w:rFonts w:hint="eastAsia" w:ascii="仿宋_GB2312" w:hAnsi="黑体" w:eastAsia="仿宋_GB2312"/>
          <w:b/>
          <w:sz w:val="32"/>
          <w:szCs w:val="32"/>
        </w:rPr>
        <w:t>十一、项目支出：</w:t>
      </w:r>
      <w:r>
        <w:rPr>
          <w:rFonts w:hint="eastAsia" w:ascii="仿宋_GB2312" w:hAnsi="黑体" w:eastAsia="仿宋_GB2312"/>
          <w:sz w:val="32"/>
          <w:szCs w:val="32"/>
        </w:rPr>
        <w:t>指单位为完成特定行政任务和事业发展目标在基本支出之外所发生的支出。</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仿宋_GB2312" w:hAnsi="黑体" w:eastAsia="仿宋_GB2312"/>
          <w:b/>
          <w:sz w:val="32"/>
          <w:szCs w:val="32"/>
        </w:rPr>
        <w:t>十二、经营支出：</w:t>
      </w:r>
      <w:r>
        <w:rPr>
          <w:rFonts w:hint="eastAsia" w:ascii="仿宋_GB2312" w:hAnsi="黑体" w:eastAsia="仿宋_GB2312"/>
          <w:sz w:val="32"/>
          <w:szCs w:val="32"/>
        </w:rPr>
        <w:t>指事业单位在专业业务活动及其辅助活动之外开展非独立核算经营活动发生的支出。</w:t>
      </w:r>
    </w:p>
    <w:p>
      <w:pPr>
        <w:pStyle w:val="7"/>
        <w:spacing w:before="0" w:beforeAutospacing="0" w:after="0" w:afterAutospacing="0" w:line="600" w:lineRule="exact"/>
        <w:ind w:firstLine="616" w:firstLineChars="196"/>
        <w:jc w:val="both"/>
      </w:pPr>
      <w:r>
        <w:rPr>
          <w:rFonts w:hint="eastAsia" w:ascii="仿宋_GB2312" w:hAnsi="黑体" w:eastAsia="仿宋_GB2312"/>
          <w:b/>
          <w:sz w:val="32"/>
          <w:szCs w:val="32"/>
        </w:rPr>
        <w:t>十三、“三公”经费：</w:t>
      </w:r>
      <w:r>
        <w:rPr>
          <w:rFonts w:hint="eastAsia" w:ascii="仿宋_GB2312" w:hAnsi="黑体" w:eastAsia="仿宋_GB2312"/>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sectPr>
      <w:headerReference r:id="rId3" w:type="default"/>
      <w:footerReference r:id="rId4" w:type="default"/>
      <w:footerReference r:id="rId5" w:type="even"/>
      <w:pgSz w:w="11906" w:h="16838"/>
      <w:pgMar w:top="2155" w:right="1531" w:bottom="1588" w:left="1588" w:header="0" w:footer="1588" w:gutter="0"/>
      <w:cols w:space="720" w:num="1"/>
      <w:docGrid w:type="linesAndChars" w:linePitch="56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Fonts w:ascii="仿宋_GB2312"/>
        <w:sz w:val="28"/>
      </w:rPr>
    </w:pPr>
    <w:r>
      <w:rPr>
        <w:rStyle w:val="12"/>
        <w:rFonts w:hint="eastAsia" w:ascii="仿宋_GB2312"/>
        <w:sz w:val="28"/>
      </w:rPr>
      <w:t>-</w:t>
    </w:r>
    <w:r>
      <w:rPr>
        <w:rFonts w:hint="eastAsia" w:ascii="仿宋_GB2312"/>
        <w:sz w:val="28"/>
        <w:szCs w:val="28"/>
      </w:rPr>
      <w:fldChar w:fldCharType="begin"/>
    </w:r>
    <w:r>
      <w:rPr>
        <w:rStyle w:val="12"/>
        <w:rFonts w:hint="eastAsia" w:ascii="仿宋_GB2312"/>
        <w:sz w:val="28"/>
        <w:szCs w:val="28"/>
      </w:rPr>
      <w:instrText xml:space="preserve"> PAGE </w:instrText>
    </w:r>
    <w:r>
      <w:rPr>
        <w:rFonts w:hint="eastAsia" w:ascii="仿宋_GB2312"/>
        <w:sz w:val="28"/>
        <w:szCs w:val="28"/>
      </w:rPr>
      <w:fldChar w:fldCharType="separate"/>
    </w:r>
    <w:r>
      <w:rPr>
        <w:rStyle w:val="12"/>
        <w:rFonts w:ascii="仿宋_GB2312"/>
        <w:sz w:val="28"/>
        <w:szCs w:val="28"/>
      </w:rPr>
      <w:t>1</w:t>
    </w:r>
    <w:r>
      <w:rPr>
        <w:rFonts w:hint="eastAsia" w:ascii="仿宋_GB2312"/>
        <w:sz w:val="28"/>
        <w:szCs w:val="28"/>
      </w:rPr>
      <w:fldChar w:fldCharType="end"/>
    </w:r>
    <w:r>
      <w:rPr>
        <w:rStyle w:val="12"/>
        <w:rFonts w:hint="eastAsia" w:ascii="仿宋_GB2312"/>
        <w:sz w:val="28"/>
        <w:szCs w:val="28"/>
      </w:rPr>
      <w:t>-</w:t>
    </w:r>
  </w:p>
  <w:p>
    <w:pPr>
      <w:pStyle w:val="5"/>
      <w:ind w:right="360"/>
      <w:jc w:val="right"/>
      <w:rPr>
        <w:rFonts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313"/>
  <w:drawingGridVerticalSpacing w:val="569"/>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0NzMxODAzNTFjODg2YzgyMTljNWM1MDM5NzYxOTYifQ=="/>
  </w:docVars>
  <w:rsids>
    <w:rsidRoot w:val="00645DD0"/>
    <w:rsid w:val="00007CAB"/>
    <w:rsid w:val="00007F53"/>
    <w:rsid w:val="00011BA9"/>
    <w:rsid w:val="0001202C"/>
    <w:rsid w:val="000217E6"/>
    <w:rsid w:val="000223C6"/>
    <w:rsid w:val="00023587"/>
    <w:rsid w:val="00024795"/>
    <w:rsid w:val="00024B05"/>
    <w:rsid w:val="00026B4F"/>
    <w:rsid w:val="00033489"/>
    <w:rsid w:val="00035073"/>
    <w:rsid w:val="00035AC6"/>
    <w:rsid w:val="000412BB"/>
    <w:rsid w:val="000418E0"/>
    <w:rsid w:val="00044AF2"/>
    <w:rsid w:val="00046B65"/>
    <w:rsid w:val="000506E1"/>
    <w:rsid w:val="00055FBD"/>
    <w:rsid w:val="000576E3"/>
    <w:rsid w:val="000618F5"/>
    <w:rsid w:val="00061C67"/>
    <w:rsid w:val="00062D67"/>
    <w:rsid w:val="00062E39"/>
    <w:rsid w:val="00063C3D"/>
    <w:rsid w:val="000646BF"/>
    <w:rsid w:val="0006586D"/>
    <w:rsid w:val="00066AFB"/>
    <w:rsid w:val="000673CD"/>
    <w:rsid w:val="00067C61"/>
    <w:rsid w:val="00075F50"/>
    <w:rsid w:val="00076DFE"/>
    <w:rsid w:val="00085DE8"/>
    <w:rsid w:val="00086FBE"/>
    <w:rsid w:val="00091BFC"/>
    <w:rsid w:val="00094E4D"/>
    <w:rsid w:val="000A1494"/>
    <w:rsid w:val="000A51EF"/>
    <w:rsid w:val="000A6E7C"/>
    <w:rsid w:val="000A7AB6"/>
    <w:rsid w:val="000B2178"/>
    <w:rsid w:val="000B4329"/>
    <w:rsid w:val="000B53BD"/>
    <w:rsid w:val="000B5C36"/>
    <w:rsid w:val="000C6876"/>
    <w:rsid w:val="000C7346"/>
    <w:rsid w:val="000D04A0"/>
    <w:rsid w:val="000D066A"/>
    <w:rsid w:val="000D3459"/>
    <w:rsid w:val="000D3FCD"/>
    <w:rsid w:val="000E0598"/>
    <w:rsid w:val="000E0A36"/>
    <w:rsid w:val="000E4B37"/>
    <w:rsid w:val="000E6047"/>
    <w:rsid w:val="000E6C24"/>
    <w:rsid w:val="000F6748"/>
    <w:rsid w:val="000F787A"/>
    <w:rsid w:val="00100341"/>
    <w:rsid w:val="00105BA4"/>
    <w:rsid w:val="00105EFB"/>
    <w:rsid w:val="00110B80"/>
    <w:rsid w:val="00111777"/>
    <w:rsid w:val="00111D90"/>
    <w:rsid w:val="00112AF4"/>
    <w:rsid w:val="001133DC"/>
    <w:rsid w:val="00114EA8"/>
    <w:rsid w:val="00120290"/>
    <w:rsid w:val="001214CF"/>
    <w:rsid w:val="00126ADB"/>
    <w:rsid w:val="00134307"/>
    <w:rsid w:val="00134FC3"/>
    <w:rsid w:val="00136ABF"/>
    <w:rsid w:val="00136FD9"/>
    <w:rsid w:val="00140D29"/>
    <w:rsid w:val="0014138E"/>
    <w:rsid w:val="0014166B"/>
    <w:rsid w:val="0014773B"/>
    <w:rsid w:val="00147E48"/>
    <w:rsid w:val="001514CB"/>
    <w:rsid w:val="00154FB5"/>
    <w:rsid w:val="00155D52"/>
    <w:rsid w:val="00156013"/>
    <w:rsid w:val="00160909"/>
    <w:rsid w:val="00161301"/>
    <w:rsid w:val="00171095"/>
    <w:rsid w:val="00173146"/>
    <w:rsid w:val="001830F3"/>
    <w:rsid w:val="0018606D"/>
    <w:rsid w:val="00193E86"/>
    <w:rsid w:val="001A3555"/>
    <w:rsid w:val="001A4987"/>
    <w:rsid w:val="001B7894"/>
    <w:rsid w:val="001C0AFA"/>
    <w:rsid w:val="001C4EC9"/>
    <w:rsid w:val="001C5D04"/>
    <w:rsid w:val="001C74A7"/>
    <w:rsid w:val="001D3779"/>
    <w:rsid w:val="001D7DC1"/>
    <w:rsid w:val="001E4EE1"/>
    <w:rsid w:val="001F5D31"/>
    <w:rsid w:val="001F6ADA"/>
    <w:rsid w:val="001F6DDD"/>
    <w:rsid w:val="002028F1"/>
    <w:rsid w:val="00213D49"/>
    <w:rsid w:val="0022074E"/>
    <w:rsid w:val="002215BA"/>
    <w:rsid w:val="0022189D"/>
    <w:rsid w:val="00221929"/>
    <w:rsid w:val="00222101"/>
    <w:rsid w:val="002231DA"/>
    <w:rsid w:val="00223236"/>
    <w:rsid w:val="00227888"/>
    <w:rsid w:val="00234AB7"/>
    <w:rsid w:val="002361DC"/>
    <w:rsid w:val="00236C78"/>
    <w:rsid w:val="002371EA"/>
    <w:rsid w:val="00242678"/>
    <w:rsid w:val="00242DA4"/>
    <w:rsid w:val="00244066"/>
    <w:rsid w:val="002478A7"/>
    <w:rsid w:val="00247D26"/>
    <w:rsid w:val="00250F29"/>
    <w:rsid w:val="00251545"/>
    <w:rsid w:val="002522F5"/>
    <w:rsid w:val="00260BCD"/>
    <w:rsid w:val="002636D0"/>
    <w:rsid w:val="00263B6F"/>
    <w:rsid w:val="002647AB"/>
    <w:rsid w:val="002668C9"/>
    <w:rsid w:val="00266C66"/>
    <w:rsid w:val="00273C29"/>
    <w:rsid w:val="002741C2"/>
    <w:rsid w:val="002766EC"/>
    <w:rsid w:val="00276ABD"/>
    <w:rsid w:val="00292278"/>
    <w:rsid w:val="00296AEF"/>
    <w:rsid w:val="002A4352"/>
    <w:rsid w:val="002A66C3"/>
    <w:rsid w:val="002A7568"/>
    <w:rsid w:val="002A7702"/>
    <w:rsid w:val="002B1AB5"/>
    <w:rsid w:val="002B2B12"/>
    <w:rsid w:val="002B2F09"/>
    <w:rsid w:val="002B4B26"/>
    <w:rsid w:val="002B5CF7"/>
    <w:rsid w:val="002B5E93"/>
    <w:rsid w:val="002C0059"/>
    <w:rsid w:val="002C1E06"/>
    <w:rsid w:val="002C3095"/>
    <w:rsid w:val="002C3653"/>
    <w:rsid w:val="002C3E5F"/>
    <w:rsid w:val="002C54B1"/>
    <w:rsid w:val="002C59FB"/>
    <w:rsid w:val="002C7C11"/>
    <w:rsid w:val="002D12CA"/>
    <w:rsid w:val="002D33C1"/>
    <w:rsid w:val="002E2D02"/>
    <w:rsid w:val="002E468E"/>
    <w:rsid w:val="002E5382"/>
    <w:rsid w:val="002F1A91"/>
    <w:rsid w:val="002F220B"/>
    <w:rsid w:val="002F49D3"/>
    <w:rsid w:val="002F6D0F"/>
    <w:rsid w:val="00301D9F"/>
    <w:rsid w:val="00302FD4"/>
    <w:rsid w:val="003033F7"/>
    <w:rsid w:val="003041BD"/>
    <w:rsid w:val="00305171"/>
    <w:rsid w:val="00310B3E"/>
    <w:rsid w:val="00311166"/>
    <w:rsid w:val="00311C5C"/>
    <w:rsid w:val="0031401D"/>
    <w:rsid w:val="003151F1"/>
    <w:rsid w:val="00315336"/>
    <w:rsid w:val="00321DF9"/>
    <w:rsid w:val="00321FD3"/>
    <w:rsid w:val="0033036C"/>
    <w:rsid w:val="00337480"/>
    <w:rsid w:val="00341BE5"/>
    <w:rsid w:val="00341E06"/>
    <w:rsid w:val="00343A85"/>
    <w:rsid w:val="00343B78"/>
    <w:rsid w:val="00343D1E"/>
    <w:rsid w:val="00347220"/>
    <w:rsid w:val="00352854"/>
    <w:rsid w:val="00354EE1"/>
    <w:rsid w:val="00355121"/>
    <w:rsid w:val="00356313"/>
    <w:rsid w:val="00356881"/>
    <w:rsid w:val="00361010"/>
    <w:rsid w:val="0036457F"/>
    <w:rsid w:val="00364CEB"/>
    <w:rsid w:val="003700A1"/>
    <w:rsid w:val="00381D7D"/>
    <w:rsid w:val="00382B7C"/>
    <w:rsid w:val="00384352"/>
    <w:rsid w:val="00390275"/>
    <w:rsid w:val="00392922"/>
    <w:rsid w:val="0039439B"/>
    <w:rsid w:val="003968F7"/>
    <w:rsid w:val="003A1AC7"/>
    <w:rsid w:val="003B4D0D"/>
    <w:rsid w:val="003B746B"/>
    <w:rsid w:val="003C1BA2"/>
    <w:rsid w:val="003C1DAF"/>
    <w:rsid w:val="003C4D66"/>
    <w:rsid w:val="003D505D"/>
    <w:rsid w:val="003D6DA5"/>
    <w:rsid w:val="003E1A6C"/>
    <w:rsid w:val="003E1F6A"/>
    <w:rsid w:val="003E53F0"/>
    <w:rsid w:val="003E6A48"/>
    <w:rsid w:val="003F6681"/>
    <w:rsid w:val="004011E8"/>
    <w:rsid w:val="00406E83"/>
    <w:rsid w:val="0040779C"/>
    <w:rsid w:val="004118F8"/>
    <w:rsid w:val="00415DC3"/>
    <w:rsid w:val="0041748D"/>
    <w:rsid w:val="00420F3B"/>
    <w:rsid w:val="004229C4"/>
    <w:rsid w:val="004248D2"/>
    <w:rsid w:val="004275D6"/>
    <w:rsid w:val="0043062C"/>
    <w:rsid w:val="00434763"/>
    <w:rsid w:val="00435ACD"/>
    <w:rsid w:val="00435C45"/>
    <w:rsid w:val="0044636A"/>
    <w:rsid w:val="00447526"/>
    <w:rsid w:val="00451991"/>
    <w:rsid w:val="004525FA"/>
    <w:rsid w:val="00456CB7"/>
    <w:rsid w:val="004679E9"/>
    <w:rsid w:val="00470E42"/>
    <w:rsid w:val="00471239"/>
    <w:rsid w:val="00472658"/>
    <w:rsid w:val="00480204"/>
    <w:rsid w:val="00487316"/>
    <w:rsid w:val="00487F6C"/>
    <w:rsid w:val="00492E4C"/>
    <w:rsid w:val="004940DE"/>
    <w:rsid w:val="004947E3"/>
    <w:rsid w:val="004A3D4D"/>
    <w:rsid w:val="004B3598"/>
    <w:rsid w:val="004B7422"/>
    <w:rsid w:val="004C0F3B"/>
    <w:rsid w:val="004C28F9"/>
    <w:rsid w:val="004C2C03"/>
    <w:rsid w:val="004C5C25"/>
    <w:rsid w:val="004C640E"/>
    <w:rsid w:val="004D0A64"/>
    <w:rsid w:val="004D2875"/>
    <w:rsid w:val="004D2F5B"/>
    <w:rsid w:val="004D354A"/>
    <w:rsid w:val="004D4EC1"/>
    <w:rsid w:val="004D72B4"/>
    <w:rsid w:val="004D7A7A"/>
    <w:rsid w:val="004E5096"/>
    <w:rsid w:val="004E7B45"/>
    <w:rsid w:val="004F5DC7"/>
    <w:rsid w:val="00500806"/>
    <w:rsid w:val="00501AB0"/>
    <w:rsid w:val="00502CDE"/>
    <w:rsid w:val="005032C3"/>
    <w:rsid w:val="005100F0"/>
    <w:rsid w:val="0051163B"/>
    <w:rsid w:val="00512596"/>
    <w:rsid w:val="005132AA"/>
    <w:rsid w:val="005140A0"/>
    <w:rsid w:val="00521E9E"/>
    <w:rsid w:val="00526F80"/>
    <w:rsid w:val="00527719"/>
    <w:rsid w:val="00527C04"/>
    <w:rsid w:val="00527FB1"/>
    <w:rsid w:val="005309B7"/>
    <w:rsid w:val="005363F6"/>
    <w:rsid w:val="0053674F"/>
    <w:rsid w:val="005416DA"/>
    <w:rsid w:val="0054357A"/>
    <w:rsid w:val="00547A3E"/>
    <w:rsid w:val="00555FEE"/>
    <w:rsid w:val="00556DA0"/>
    <w:rsid w:val="00560768"/>
    <w:rsid w:val="00560D45"/>
    <w:rsid w:val="0056550E"/>
    <w:rsid w:val="00566A07"/>
    <w:rsid w:val="0057054B"/>
    <w:rsid w:val="00570584"/>
    <w:rsid w:val="0057538F"/>
    <w:rsid w:val="00576F6C"/>
    <w:rsid w:val="005817CE"/>
    <w:rsid w:val="00582756"/>
    <w:rsid w:val="00590364"/>
    <w:rsid w:val="005906E5"/>
    <w:rsid w:val="005917C6"/>
    <w:rsid w:val="00591CA2"/>
    <w:rsid w:val="00592AD9"/>
    <w:rsid w:val="005A4CEE"/>
    <w:rsid w:val="005A61E1"/>
    <w:rsid w:val="005A6F99"/>
    <w:rsid w:val="005B073C"/>
    <w:rsid w:val="005B0DE7"/>
    <w:rsid w:val="005B4491"/>
    <w:rsid w:val="005B6779"/>
    <w:rsid w:val="005B7312"/>
    <w:rsid w:val="005C0655"/>
    <w:rsid w:val="005C1E97"/>
    <w:rsid w:val="005C7003"/>
    <w:rsid w:val="005D137A"/>
    <w:rsid w:val="005D4DA5"/>
    <w:rsid w:val="005D7391"/>
    <w:rsid w:val="005E3D16"/>
    <w:rsid w:val="005E3D67"/>
    <w:rsid w:val="005E617E"/>
    <w:rsid w:val="005E7032"/>
    <w:rsid w:val="005F21C2"/>
    <w:rsid w:val="005F45F5"/>
    <w:rsid w:val="005F4CB1"/>
    <w:rsid w:val="00600FB6"/>
    <w:rsid w:val="00601BD3"/>
    <w:rsid w:val="00602648"/>
    <w:rsid w:val="006060D7"/>
    <w:rsid w:val="006114E6"/>
    <w:rsid w:val="00614054"/>
    <w:rsid w:val="0061436A"/>
    <w:rsid w:val="0061485A"/>
    <w:rsid w:val="006176B7"/>
    <w:rsid w:val="00620DF2"/>
    <w:rsid w:val="006256B0"/>
    <w:rsid w:val="00625FF5"/>
    <w:rsid w:val="0062770E"/>
    <w:rsid w:val="006311F8"/>
    <w:rsid w:val="00641450"/>
    <w:rsid w:val="0064256A"/>
    <w:rsid w:val="006427AC"/>
    <w:rsid w:val="006454C1"/>
    <w:rsid w:val="00645DD0"/>
    <w:rsid w:val="006524FD"/>
    <w:rsid w:val="00655F30"/>
    <w:rsid w:val="006629B7"/>
    <w:rsid w:val="006645A4"/>
    <w:rsid w:val="0067018D"/>
    <w:rsid w:val="00672E53"/>
    <w:rsid w:val="00675F1A"/>
    <w:rsid w:val="00691B32"/>
    <w:rsid w:val="006930BA"/>
    <w:rsid w:val="00693354"/>
    <w:rsid w:val="006A65BB"/>
    <w:rsid w:val="006C1837"/>
    <w:rsid w:val="006C4058"/>
    <w:rsid w:val="006C5A1E"/>
    <w:rsid w:val="006C7AD8"/>
    <w:rsid w:val="006D7347"/>
    <w:rsid w:val="006E2802"/>
    <w:rsid w:val="006E5645"/>
    <w:rsid w:val="006F074D"/>
    <w:rsid w:val="006F1614"/>
    <w:rsid w:val="006F381B"/>
    <w:rsid w:val="006F4BF2"/>
    <w:rsid w:val="006F5B5C"/>
    <w:rsid w:val="00701D31"/>
    <w:rsid w:val="007021E1"/>
    <w:rsid w:val="0070718B"/>
    <w:rsid w:val="00711FA0"/>
    <w:rsid w:val="007172EB"/>
    <w:rsid w:val="007211B0"/>
    <w:rsid w:val="0073091F"/>
    <w:rsid w:val="00731666"/>
    <w:rsid w:val="00734429"/>
    <w:rsid w:val="00736B19"/>
    <w:rsid w:val="00741930"/>
    <w:rsid w:val="00741BAB"/>
    <w:rsid w:val="0074779F"/>
    <w:rsid w:val="00747E33"/>
    <w:rsid w:val="00747E76"/>
    <w:rsid w:val="00753AC3"/>
    <w:rsid w:val="007554F7"/>
    <w:rsid w:val="00760F11"/>
    <w:rsid w:val="00761F4E"/>
    <w:rsid w:val="007669BA"/>
    <w:rsid w:val="0077243A"/>
    <w:rsid w:val="00775C05"/>
    <w:rsid w:val="00776A37"/>
    <w:rsid w:val="00776C00"/>
    <w:rsid w:val="00777E68"/>
    <w:rsid w:val="00784039"/>
    <w:rsid w:val="0078442E"/>
    <w:rsid w:val="00786257"/>
    <w:rsid w:val="00787780"/>
    <w:rsid w:val="00793B3E"/>
    <w:rsid w:val="00797048"/>
    <w:rsid w:val="00797AF5"/>
    <w:rsid w:val="007A1865"/>
    <w:rsid w:val="007A2997"/>
    <w:rsid w:val="007A34D0"/>
    <w:rsid w:val="007A3F30"/>
    <w:rsid w:val="007B2902"/>
    <w:rsid w:val="007B2C83"/>
    <w:rsid w:val="007B4650"/>
    <w:rsid w:val="007C438E"/>
    <w:rsid w:val="007C5DE9"/>
    <w:rsid w:val="007D02C3"/>
    <w:rsid w:val="007D07B9"/>
    <w:rsid w:val="007F0A28"/>
    <w:rsid w:val="007F144E"/>
    <w:rsid w:val="007F1E7D"/>
    <w:rsid w:val="007F3A23"/>
    <w:rsid w:val="007F667C"/>
    <w:rsid w:val="008076E2"/>
    <w:rsid w:val="00810659"/>
    <w:rsid w:val="008106FC"/>
    <w:rsid w:val="00811B92"/>
    <w:rsid w:val="00816244"/>
    <w:rsid w:val="0081786D"/>
    <w:rsid w:val="00820F0B"/>
    <w:rsid w:val="00831936"/>
    <w:rsid w:val="008338D0"/>
    <w:rsid w:val="00834BDD"/>
    <w:rsid w:val="00836B82"/>
    <w:rsid w:val="0083728B"/>
    <w:rsid w:val="0084011C"/>
    <w:rsid w:val="00840EDC"/>
    <w:rsid w:val="00843AF7"/>
    <w:rsid w:val="00844B1D"/>
    <w:rsid w:val="00844DA4"/>
    <w:rsid w:val="00845AFB"/>
    <w:rsid w:val="00846E9D"/>
    <w:rsid w:val="00854155"/>
    <w:rsid w:val="00857A86"/>
    <w:rsid w:val="00860EE8"/>
    <w:rsid w:val="00862BDF"/>
    <w:rsid w:val="00864E5F"/>
    <w:rsid w:val="008660FD"/>
    <w:rsid w:val="00866E18"/>
    <w:rsid w:val="008702BF"/>
    <w:rsid w:val="00871778"/>
    <w:rsid w:val="00872013"/>
    <w:rsid w:val="00872770"/>
    <w:rsid w:val="00874FF5"/>
    <w:rsid w:val="0088664E"/>
    <w:rsid w:val="00887266"/>
    <w:rsid w:val="00894016"/>
    <w:rsid w:val="008A20F0"/>
    <w:rsid w:val="008A2A87"/>
    <w:rsid w:val="008A7EA8"/>
    <w:rsid w:val="008B0F90"/>
    <w:rsid w:val="008B1DB6"/>
    <w:rsid w:val="008B2184"/>
    <w:rsid w:val="008B2795"/>
    <w:rsid w:val="008B3C62"/>
    <w:rsid w:val="008D0195"/>
    <w:rsid w:val="008D25FD"/>
    <w:rsid w:val="008D5067"/>
    <w:rsid w:val="008E3755"/>
    <w:rsid w:val="008F7006"/>
    <w:rsid w:val="008F74E4"/>
    <w:rsid w:val="00901A3B"/>
    <w:rsid w:val="009038F2"/>
    <w:rsid w:val="00905A78"/>
    <w:rsid w:val="00907509"/>
    <w:rsid w:val="0091224B"/>
    <w:rsid w:val="00912781"/>
    <w:rsid w:val="00912FC1"/>
    <w:rsid w:val="0091586A"/>
    <w:rsid w:val="00916E37"/>
    <w:rsid w:val="009206D7"/>
    <w:rsid w:val="0092110D"/>
    <w:rsid w:val="0092215B"/>
    <w:rsid w:val="00926221"/>
    <w:rsid w:val="009315EA"/>
    <w:rsid w:val="00933F38"/>
    <w:rsid w:val="00934597"/>
    <w:rsid w:val="00943DD8"/>
    <w:rsid w:val="0095084D"/>
    <w:rsid w:val="00953828"/>
    <w:rsid w:val="009556B1"/>
    <w:rsid w:val="00956F33"/>
    <w:rsid w:val="00961396"/>
    <w:rsid w:val="009642BA"/>
    <w:rsid w:val="00964ABD"/>
    <w:rsid w:val="009702FD"/>
    <w:rsid w:val="00974FEC"/>
    <w:rsid w:val="009757C4"/>
    <w:rsid w:val="00977C9C"/>
    <w:rsid w:val="00983299"/>
    <w:rsid w:val="00994607"/>
    <w:rsid w:val="009A0C1C"/>
    <w:rsid w:val="009A204F"/>
    <w:rsid w:val="009A5DBE"/>
    <w:rsid w:val="009A6713"/>
    <w:rsid w:val="009B2D42"/>
    <w:rsid w:val="009C0491"/>
    <w:rsid w:val="009C2717"/>
    <w:rsid w:val="009C74FF"/>
    <w:rsid w:val="009D0223"/>
    <w:rsid w:val="009D19EC"/>
    <w:rsid w:val="009D2BE8"/>
    <w:rsid w:val="009D5445"/>
    <w:rsid w:val="009D59FD"/>
    <w:rsid w:val="009D6B2D"/>
    <w:rsid w:val="009E0B35"/>
    <w:rsid w:val="009E25AF"/>
    <w:rsid w:val="009E3FC2"/>
    <w:rsid w:val="009F08A3"/>
    <w:rsid w:val="009F6F2B"/>
    <w:rsid w:val="00A00858"/>
    <w:rsid w:val="00A00F89"/>
    <w:rsid w:val="00A03702"/>
    <w:rsid w:val="00A05D2F"/>
    <w:rsid w:val="00A061E3"/>
    <w:rsid w:val="00A0671A"/>
    <w:rsid w:val="00A124D9"/>
    <w:rsid w:val="00A13580"/>
    <w:rsid w:val="00A13765"/>
    <w:rsid w:val="00A16C0B"/>
    <w:rsid w:val="00A16C31"/>
    <w:rsid w:val="00A17D46"/>
    <w:rsid w:val="00A20417"/>
    <w:rsid w:val="00A21D92"/>
    <w:rsid w:val="00A23227"/>
    <w:rsid w:val="00A239D2"/>
    <w:rsid w:val="00A277EB"/>
    <w:rsid w:val="00A31050"/>
    <w:rsid w:val="00A326EC"/>
    <w:rsid w:val="00A34AB2"/>
    <w:rsid w:val="00A41E3D"/>
    <w:rsid w:val="00A5034E"/>
    <w:rsid w:val="00A508F3"/>
    <w:rsid w:val="00A61016"/>
    <w:rsid w:val="00A64DBD"/>
    <w:rsid w:val="00A66DF5"/>
    <w:rsid w:val="00A6746C"/>
    <w:rsid w:val="00A677CC"/>
    <w:rsid w:val="00A71B59"/>
    <w:rsid w:val="00A73AC3"/>
    <w:rsid w:val="00A76D03"/>
    <w:rsid w:val="00A825D1"/>
    <w:rsid w:val="00A85EA6"/>
    <w:rsid w:val="00A86564"/>
    <w:rsid w:val="00A8768C"/>
    <w:rsid w:val="00A9074F"/>
    <w:rsid w:val="00A93304"/>
    <w:rsid w:val="00A93C3F"/>
    <w:rsid w:val="00A93D7D"/>
    <w:rsid w:val="00A965F1"/>
    <w:rsid w:val="00A96F3C"/>
    <w:rsid w:val="00A978ED"/>
    <w:rsid w:val="00AA478D"/>
    <w:rsid w:val="00AA65BB"/>
    <w:rsid w:val="00AB1271"/>
    <w:rsid w:val="00AB2C05"/>
    <w:rsid w:val="00AB5E0A"/>
    <w:rsid w:val="00AB79DF"/>
    <w:rsid w:val="00AC2024"/>
    <w:rsid w:val="00AC2E25"/>
    <w:rsid w:val="00AC41D8"/>
    <w:rsid w:val="00AC43D3"/>
    <w:rsid w:val="00AC64A2"/>
    <w:rsid w:val="00AC7D9C"/>
    <w:rsid w:val="00AD4CA4"/>
    <w:rsid w:val="00AD57BB"/>
    <w:rsid w:val="00AE39C4"/>
    <w:rsid w:val="00AF6122"/>
    <w:rsid w:val="00B061F5"/>
    <w:rsid w:val="00B065DA"/>
    <w:rsid w:val="00B07BDC"/>
    <w:rsid w:val="00B10434"/>
    <w:rsid w:val="00B12110"/>
    <w:rsid w:val="00B146E0"/>
    <w:rsid w:val="00B203FD"/>
    <w:rsid w:val="00B21512"/>
    <w:rsid w:val="00B22236"/>
    <w:rsid w:val="00B226BE"/>
    <w:rsid w:val="00B26488"/>
    <w:rsid w:val="00B30E7F"/>
    <w:rsid w:val="00B3615E"/>
    <w:rsid w:val="00B40DEE"/>
    <w:rsid w:val="00B45BF9"/>
    <w:rsid w:val="00B45FF5"/>
    <w:rsid w:val="00B4688C"/>
    <w:rsid w:val="00B479B2"/>
    <w:rsid w:val="00B533D5"/>
    <w:rsid w:val="00B55039"/>
    <w:rsid w:val="00B55771"/>
    <w:rsid w:val="00B619F3"/>
    <w:rsid w:val="00B64711"/>
    <w:rsid w:val="00B67018"/>
    <w:rsid w:val="00B67DAB"/>
    <w:rsid w:val="00B73557"/>
    <w:rsid w:val="00B75F99"/>
    <w:rsid w:val="00B7762C"/>
    <w:rsid w:val="00B77B0D"/>
    <w:rsid w:val="00B8032E"/>
    <w:rsid w:val="00B810C1"/>
    <w:rsid w:val="00B81279"/>
    <w:rsid w:val="00B85C02"/>
    <w:rsid w:val="00B86418"/>
    <w:rsid w:val="00B95DBD"/>
    <w:rsid w:val="00BA0B79"/>
    <w:rsid w:val="00BA0E08"/>
    <w:rsid w:val="00BA2CC6"/>
    <w:rsid w:val="00BA41E8"/>
    <w:rsid w:val="00BA58C3"/>
    <w:rsid w:val="00BB0EF3"/>
    <w:rsid w:val="00BB2FE4"/>
    <w:rsid w:val="00BC44C2"/>
    <w:rsid w:val="00BC6F43"/>
    <w:rsid w:val="00BD1FD1"/>
    <w:rsid w:val="00BD4C9C"/>
    <w:rsid w:val="00BD4EF8"/>
    <w:rsid w:val="00BD6D69"/>
    <w:rsid w:val="00BE14FA"/>
    <w:rsid w:val="00BE16EC"/>
    <w:rsid w:val="00BE2E9D"/>
    <w:rsid w:val="00BE4188"/>
    <w:rsid w:val="00BE6E01"/>
    <w:rsid w:val="00BF057F"/>
    <w:rsid w:val="00BF58FE"/>
    <w:rsid w:val="00BF7747"/>
    <w:rsid w:val="00C01E3C"/>
    <w:rsid w:val="00C05039"/>
    <w:rsid w:val="00C050A3"/>
    <w:rsid w:val="00C06BFF"/>
    <w:rsid w:val="00C2059A"/>
    <w:rsid w:val="00C21314"/>
    <w:rsid w:val="00C2277B"/>
    <w:rsid w:val="00C2312B"/>
    <w:rsid w:val="00C24394"/>
    <w:rsid w:val="00C251ED"/>
    <w:rsid w:val="00C256D2"/>
    <w:rsid w:val="00C27145"/>
    <w:rsid w:val="00C32EF3"/>
    <w:rsid w:val="00C34464"/>
    <w:rsid w:val="00C35A7F"/>
    <w:rsid w:val="00C406BE"/>
    <w:rsid w:val="00C43AEF"/>
    <w:rsid w:val="00C44841"/>
    <w:rsid w:val="00C44A68"/>
    <w:rsid w:val="00C5213D"/>
    <w:rsid w:val="00C541A1"/>
    <w:rsid w:val="00C54CDF"/>
    <w:rsid w:val="00C54DBC"/>
    <w:rsid w:val="00C54F6F"/>
    <w:rsid w:val="00C55BA5"/>
    <w:rsid w:val="00C5797B"/>
    <w:rsid w:val="00C610CA"/>
    <w:rsid w:val="00C633CC"/>
    <w:rsid w:val="00C64E89"/>
    <w:rsid w:val="00C6569F"/>
    <w:rsid w:val="00C66C71"/>
    <w:rsid w:val="00C671FE"/>
    <w:rsid w:val="00C7277B"/>
    <w:rsid w:val="00C727C0"/>
    <w:rsid w:val="00C73CE7"/>
    <w:rsid w:val="00C75ADA"/>
    <w:rsid w:val="00C75CC2"/>
    <w:rsid w:val="00C762E8"/>
    <w:rsid w:val="00C77DE2"/>
    <w:rsid w:val="00C83B60"/>
    <w:rsid w:val="00C86F11"/>
    <w:rsid w:val="00C9341E"/>
    <w:rsid w:val="00C9433E"/>
    <w:rsid w:val="00CA3A27"/>
    <w:rsid w:val="00CB1574"/>
    <w:rsid w:val="00CB41FF"/>
    <w:rsid w:val="00CB4740"/>
    <w:rsid w:val="00CB7DA4"/>
    <w:rsid w:val="00CC0A79"/>
    <w:rsid w:val="00CC3AE1"/>
    <w:rsid w:val="00CC4647"/>
    <w:rsid w:val="00CC4A14"/>
    <w:rsid w:val="00CC4D6B"/>
    <w:rsid w:val="00CC5DDE"/>
    <w:rsid w:val="00CD1386"/>
    <w:rsid w:val="00CE0752"/>
    <w:rsid w:val="00CE0B8F"/>
    <w:rsid w:val="00CE0E8F"/>
    <w:rsid w:val="00CE7E37"/>
    <w:rsid w:val="00CF5474"/>
    <w:rsid w:val="00CF579F"/>
    <w:rsid w:val="00CF6BEB"/>
    <w:rsid w:val="00D056DB"/>
    <w:rsid w:val="00D05DC0"/>
    <w:rsid w:val="00D1006B"/>
    <w:rsid w:val="00D10E7B"/>
    <w:rsid w:val="00D1232A"/>
    <w:rsid w:val="00D14812"/>
    <w:rsid w:val="00D17262"/>
    <w:rsid w:val="00D2288B"/>
    <w:rsid w:val="00D2790A"/>
    <w:rsid w:val="00D421C8"/>
    <w:rsid w:val="00D423BE"/>
    <w:rsid w:val="00D424D8"/>
    <w:rsid w:val="00D46D9A"/>
    <w:rsid w:val="00D47CC7"/>
    <w:rsid w:val="00D51AE3"/>
    <w:rsid w:val="00D52E12"/>
    <w:rsid w:val="00D5372E"/>
    <w:rsid w:val="00D5756E"/>
    <w:rsid w:val="00D66266"/>
    <w:rsid w:val="00D66BE7"/>
    <w:rsid w:val="00D720E7"/>
    <w:rsid w:val="00D72B7F"/>
    <w:rsid w:val="00D740F6"/>
    <w:rsid w:val="00D747ED"/>
    <w:rsid w:val="00D76AA3"/>
    <w:rsid w:val="00D82431"/>
    <w:rsid w:val="00DA7F62"/>
    <w:rsid w:val="00DB0295"/>
    <w:rsid w:val="00DB189F"/>
    <w:rsid w:val="00DB46A2"/>
    <w:rsid w:val="00DB68AE"/>
    <w:rsid w:val="00DB7340"/>
    <w:rsid w:val="00DB7376"/>
    <w:rsid w:val="00DB7B62"/>
    <w:rsid w:val="00DC34F7"/>
    <w:rsid w:val="00DC391E"/>
    <w:rsid w:val="00DC6771"/>
    <w:rsid w:val="00DD3096"/>
    <w:rsid w:val="00DD3AFD"/>
    <w:rsid w:val="00DD42E2"/>
    <w:rsid w:val="00DD68C5"/>
    <w:rsid w:val="00DD775E"/>
    <w:rsid w:val="00DE18CE"/>
    <w:rsid w:val="00DE6159"/>
    <w:rsid w:val="00DE6A50"/>
    <w:rsid w:val="00DF156B"/>
    <w:rsid w:val="00DF2702"/>
    <w:rsid w:val="00DF30AE"/>
    <w:rsid w:val="00E01744"/>
    <w:rsid w:val="00E036DB"/>
    <w:rsid w:val="00E12924"/>
    <w:rsid w:val="00E12C40"/>
    <w:rsid w:val="00E202B3"/>
    <w:rsid w:val="00E23EE7"/>
    <w:rsid w:val="00E25ABF"/>
    <w:rsid w:val="00E27AEB"/>
    <w:rsid w:val="00E30102"/>
    <w:rsid w:val="00E32E67"/>
    <w:rsid w:val="00E33EA6"/>
    <w:rsid w:val="00E367B6"/>
    <w:rsid w:val="00E37078"/>
    <w:rsid w:val="00E37703"/>
    <w:rsid w:val="00E41868"/>
    <w:rsid w:val="00E428C3"/>
    <w:rsid w:val="00E4355A"/>
    <w:rsid w:val="00E44992"/>
    <w:rsid w:val="00E515ED"/>
    <w:rsid w:val="00E52E4C"/>
    <w:rsid w:val="00E54E1E"/>
    <w:rsid w:val="00E551F0"/>
    <w:rsid w:val="00E552A3"/>
    <w:rsid w:val="00E5593A"/>
    <w:rsid w:val="00E55E45"/>
    <w:rsid w:val="00E577D9"/>
    <w:rsid w:val="00E60B63"/>
    <w:rsid w:val="00E6145F"/>
    <w:rsid w:val="00E72BCB"/>
    <w:rsid w:val="00E73176"/>
    <w:rsid w:val="00EA02D7"/>
    <w:rsid w:val="00EA1AA5"/>
    <w:rsid w:val="00EA370A"/>
    <w:rsid w:val="00EA58AD"/>
    <w:rsid w:val="00EA5C3B"/>
    <w:rsid w:val="00EB2A07"/>
    <w:rsid w:val="00EB3053"/>
    <w:rsid w:val="00EB4A01"/>
    <w:rsid w:val="00EB5555"/>
    <w:rsid w:val="00EB557F"/>
    <w:rsid w:val="00EB6D61"/>
    <w:rsid w:val="00EB7A14"/>
    <w:rsid w:val="00EC1363"/>
    <w:rsid w:val="00ED1E3C"/>
    <w:rsid w:val="00ED3E06"/>
    <w:rsid w:val="00EE0020"/>
    <w:rsid w:val="00EE72F6"/>
    <w:rsid w:val="00EF3B3E"/>
    <w:rsid w:val="00EF4B63"/>
    <w:rsid w:val="00EF4B7F"/>
    <w:rsid w:val="00EF5617"/>
    <w:rsid w:val="00EF7FC7"/>
    <w:rsid w:val="00EF7FE3"/>
    <w:rsid w:val="00F00DB1"/>
    <w:rsid w:val="00F02139"/>
    <w:rsid w:val="00F10F7C"/>
    <w:rsid w:val="00F12AC4"/>
    <w:rsid w:val="00F12BD9"/>
    <w:rsid w:val="00F13A12"/>
    <w:rsid w:val="00F1523B"/>
    <w:rsid w:val="00F25727"/>
    <w:rsid w:val="00F25C57"/>
    <w:rsid w:val="00F31AF5"/>
    <w:rsid w:val="00F31FE3"/>
    <w:rsid w:val="00F32974"/>
    <w:rsid w:val="00F36309"/>
    <w:rsid w:val="00F50D7E"/>
    <w:rsid w:val="00F51412"/>
    <w:rsid w:val="00F51CB8"/>
    <w:rsid w:val="00F541A1"/>
    <w:rsid w:val="00F54DF4"/>
    <w:rsid w:val="00F550DD"/>
    <w:rsid w:val="00F6040D"/>
    <w:rsid w:val="00F6358F"/>
    <w:rsid w:val="00F63A32"/>
    <w:rsid w:val="00F73F1A"/>
    <w:rsid w:val="00F77498"/>
    <w:rsid w:val="00F869C1"/>
    <w:rsid w:val="00F923FC"/>
    <w:rsid w:val="00FA2319"/>
    <w:rsid w:val="00FA7B06"/>
    <w:rsid w:val="00FB0251"/>
    <w:rsid w:val="00FB3EE8"/>
    <w:rsid w:val="00FB3F7C"/>
    <w:rsid w:val="00FB45E1"/>
    <w:rsid w:val="00FB62CF"/>
    <w:rsid w:val="00FC2853"/>
    <w:rsid w:val="00FC78CD"/>
    <w:rsid w:val="00FD4EB0"/>
    <w:rsid w:val="00FD6A94"/>
    <w:rsid w:val="00FE1814"/>
    <w:rsid w:val="00FE7737"/>
    <w:rsid w:val="00FF192A"/>
    <w:rsid w:val="00FF5E8D"/>
    <w:rsid w:val="00FF6ACD"/>
    <w:rsid w:val="00FF74FC"/>
    <w:rsid w:val="01735DA2"/>
    <w:rsid w:val="03C52895"/>
    <w:rsid w:val="19062B2E"/>
    <w:rsid w:val="1A6C68D0"/>
    <w:rsid w:val="1C8328DB"/>
    <w:rsid w:val="28026729"/>
    <w:rsid w:val="2CE00C6B"/>
    <w:rsid w:val="2EE72571"/>
    <w:rsid w:val="2FE40D78"/>
    <w:rsid w:val="353B5DF8"/>
    <w:rsid w:val="365C63D1"/>
    <w:rsid w:val="37F52655"/>
    <w:rsid w:val="382A650A"/>
    <w:rsid w:val="3B9D0BF6"/>
    <w:rsid w:val="41DC5F52"/>
    <w:rsid w:val="42D707AF"/>
    <w:rsid w:val="471269E3"/>
    <w:rsid w:val="483A69A9"/>
    <w:rsid w:val="4A9816CD"/>
    <w:rsid w:val="4AB73EEE"/>
    <w:rsid w:val="4B0F33F1"/>
    <w:rsid w:val="4ED36FD8"/>
    <w:rsid w:val="527C26D4"/>
    <w:rsid w:val="568C79B1"/>
    <w:rsid w:val="57DB53EB"/>
    <w:rsid w:val="63A616EE"/>
    <w:rsid w:val="6CE448A1"/>
    <w:rsid w:val="6E125AE1"/>
    <w:rsid w:val="740742C5"/>
    <w:rsid w:val="761F7357"/>
    <w:rsid w:val="778F3CF8"/>
    <w:rsid w:val="79CF54C3"/>
    <w:rsid w:val="7D781589"/>
    <w:rsid w:val="7DC0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36"/>
    </w:rPr>
  </w:style>
  <w:style w:type="paragraph" w:styleId="3">
    <w:name w:val="Date"/>
    <w:basedOn w:val="1"/>
    <w:next w:val="1"/>
    <w:link w:val="14"/>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customStyle="1" w:styleId="13">
    <w:name w:val="15"/>
    <w:basedOn w:val="10"/>
    <w:qFormat/>
    <w:uiPriority w:val="0"/>
    <w:rPr>
      <w:rFonts w:hint="default" w:ascii="Calibri" w:hAnsi="Calibri"/>
      <w:color w:val="0000FF"/>
      <w:u w:val="single"/>
    </w:rPr>
  </w:style>
  <w:style w:type="character" w:customStyle="1" w:styleId="14">
    <w:name w:val="日期 字符"/>
    <w:basedOn w:val="10"/>
    <w:link w:val="3"/>
    <w:qFormat/>
    <w:uiPriority w:val="0"/>
    <w:rPr>
      <w:rFonts w:eastAsia="仿宋_GB2312"/>
      <w:kern w:val="2"/>
      <w:sz w:val="32"/>
    </w:rPr>
  </w:style>
  <w:style w:type="paragraph" w:customStyle="1" w:styleId="15">
    <w:name w:val="列出段落1"/>
    <w:basedOn w:val="1"/>
    <w:qFormat/>
    <w:uiPriority w:val="0"/>
    <w:pPr>
      <w:ind w:firstLine="420" w:firstLineChars="200"/>
    </w:pPr>
    <w:rPr>
      <w:rFonts w:ascii="Calibri" w:hAnsi="Calibri" w:eastAsia="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3630</Words>
  <Characters>4116</Characters>
  <Lines>30</Lines>
  <Paragraphs>8</Paragraphs>
  <TotalTime>5</TotalTime>
  <ScaleCrop>false</ScaleCrop>
  <LinksUpToDate>false</LinksUpToDate>
  <CharactersWithSpaces>4129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2022-02-01T12:51:00Z</dcterms:created>
  <dc:creator>杨丽</dc:creator>
  <cp:lastModifiedBy>Sun</cp:lastModifiedBy>
  <cp:lastPrinted>2020-09-11T00:30:00Z</cp:lastPrinted>
  <dcterms:modified xsi:type="dcterms:W3CDTF">2023-10-11T12:13:29Z</dcterms:modified>
  <dc:title>财〔2002〕号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3A1E43BF902C4EA3BA3DA6C96265BED8</vt:lpwstr>
  </property>
</Properties>
</file>