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7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资格复审对象提交材料要求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资格复审时，资格复审对象应提供以下证件、材料，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并按以下顺序规整提交：</w:t>
      </w:r>
    </w:p>
    <w:p>
      <w:pPr>
        <w:keepNext w:val="0"/>
        <w:keepLines w:val="0"/>
        <w:pageBreakBefore w:val="0"/>
        <w:tabs>
          <w:tab w:val="left" w:pos="1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《2020年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</w:rPr>
        <w:t>淮北市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引进中小学优秀教师报名表》1份;</w:t>
      </w:r>
    </w:p>
    <w:p>
      <w:pPr>
        <w:keepNext w:val="0"/>
        <w:keepLines w:val="0"/>
        <w:pageBreakBefore w:val="0"/>
        <w:tabs>
          <w:tab w:val="left" w:pos="1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报名人员的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有效居民身份证件原件和复印件1份;</w:t>
      </w:r>
    </w:p>
    <w:p>
      <w:pPr>
        <w:keepNext w:val="0"/>
        <w:keepLines w:val="0"/>
        <w:pageBreakBefore w:val="0"/>
        <w:tabs>
          <w:tab w:val="left" w:pos="1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的毕业证书、教师资格证、专业技术资格证、荣誉证书等相关材料原件和复印件1份;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（注意：荣誉证书材料包括获奖文件、证书原件）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t>公办学校在编教师提供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同意报名证明，</w:t>
      </w:r>
      <w:r>
        <w:rPr>
          <w:rFonts w:hint="eastAsia" w:ascii="仿宋_GB2312" w:hAnsi="仿宋_GB2312" w:eastAsia="仿宋_GB2312" w:cs="仿宋_GB2312"/>
          <w:sz w:val="32"/>
          <w:szCs w:val="32"/>
        </w:rPr>
        <w:t>民办学校教师提供在岗证明；</w:t>
      </w:r>
    </w:p>
    <w:p>
      <w:pPr>
        <w:keepNext w:val="0"/>
        <w:keepLines w:val="0"/>
        <w:pageBreakBefore w:val="0"/>
        <w:tabs>
          <w:tab w:val="left" w:pos="1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符合引进条件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种情形的，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提供进入录用公示环节的相关证明材料。</w:t>
      </w:r>
    </w:p>
    <w:p>
      <w:pPr>
        <w:keepNext w:val="0"/>
        <w:keepLines w:val="0"/>
        <w:pageBreakBefore w:val="0"/>
        <w:tabs>
          <w:tab w:val="left" w:pos="1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0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1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2020-07-20T10:05:09Z</dcterms:created>
  <dc:creator>Administrator</dc:creator>
  <cp:lastModifiedBy>NTKO</cp:lastModifiedBy>
  <dcterms:modified xsi:type="dcterms:W3CDTF">2020-07-20T10:05:17Z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