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D4" w:rsidRDefault="00E428B8" w:rsidP="00A15783">
      <w:pPr>
        <w:spacing w:beforeLines="50" w:afterLines="50"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淮北市教育局</w:t>
      </w:r>
      <w:r w:rsidR="00F43E31">
        <w:rPr>
          <w:rFonts w:ascii="方正小标宋简体" w:eastAsia="方正小标宋简体" w:hAnsi="黑体" w:hint="eastAsia"/>
          <w:sz w:val="44"/>
          <w:szCs w:val="44"/>
        </w:rPr>
        <w:t>随机抽查事项清单</w:t>
      </w:r>
    </w:p>
    <w:tbl>
      <w:tblPr>
        <w:tblStyle w:val="a3"/>
        <w:tblW w:w="14743" w:type="dxa"/>
        <w:tblInd w:w="-318" w:type="dxa"/>
        <w:tblLayout w:type="fixed"/>
        <w:tblLook w:val="0000"/>
      </w:tblPr>
      <w:tblGrid>
        <w:gridCol w:w="993"/>
        <w:gridCol w:w="1560"/>
        <w:gridCol w:w="1559"/>
        <w:gridCol w:w="1134"/>
        <w:gridCol w:w="1134"/>
        <w:gridCol w:w="1276"/>
        <w:gridCol w:w="567"/>
        <w:gridCol w:w="6520"/>
      </w:tblGrid>
      <w:tr w:rsidR="00EA4DD4" w:rsidTr="00E428B8">
        <w:trPr>
          <w:trHeight w:val="585"/>
        </w:trPr>
        <w:tc>
          <w:tcPr>
            <w:tcW w:w="993" w:type="dxa"/>
            <w:vMerge w:val="restart"/>
            <w:vAlign w:val="center"/>
          </w:tcPr>
          <w:p w:rsidR="00EA4DD4" w:rsidRDefault="00F43E31">
            <w:pPr>
              <w:jc w:val="center"/>
              <w:rPr>
                <w:rFonts w:ascii="黑体" w:eastAsia="黑体" w:hAnsi="黑体"/>
                <w:sz w:val="32"/>
                <w:szCs w:val="32"/>
              </w:rPr>
            </w:pPr>
            <w:r>
              <w:rPr>
                <w:rFonts w:ascii="黑体" w:eastAsia="黑体" w:hAnsi="黑体" w:hint="eastAsia"/>
                <w:sz w:val="32"/>
                <w:szCs w:val="32"/>
              </w:rPr>
              <w:t>序号</w:t>
            </w:r>
          </w:p>
        </w:tc>
        <w:tc>
          <w:tcPr>
            <w:tcW w:w="3119" w:type="dxa"/>
            <w:gridSpan w:val="2"/>
            <w:vAlign w:val="center"/>
          </w:tcPr>
          <w:p w:rsidR="00EA4DD4" w:rsidRDefault="00F43E31">
            <w:pPr>
              <w:jc w:val="center"/>
              <w:rPr>
                <w:rFonts w:ascii="黑体" w:eastAsia="黑体" w:hAnsi="黑体"/>
                <w:sz w:val="32"/>
                <w:szCs w:val="32"/>
              </w:rPr>
            </w:pPr>
            <w:r>
              <w:rPr>
                <w:rFonts w:ascii="黑体" w:eastAsia="黑体" w:hAnsi="黑体" w:hint="eastAsia"/>
                <w:sz w:val="32"/>
                <w:szCs w:val="32"/>
              </w:rPr>
              <w:t>抽查项目</w:t>
            </w:r>
          </w:p>
        </w:tc>
        <w:tc>
          <w:tcPr>
            <w:tcW w:w="1134" w:type="dxa"/>
            <w:vMerge w:val="restart"/>
            <w:vAlign w:val="center"/>
          </w:tcPr>
          <w:p w:rsidR="00EA4DD4" w:rsidRDefault="00F43E31">
            <w:pPr>
              <w:jc w:val="center"/>
              <w:rPr>
                <w:rFonts w:ascii="黑体" w:eastAsia="黑体" w:hAnsi="黑体"/>
                <w:sz w:val="32"/>
                <w:szCs w:val="32"/>
              </w:rPr>
            </w:pPr>
            <w:r>
              <w:rPr>
                <w:rFonts w:ascii="黑体" w:eastAsia="黑体" w:hAnsi="黑体" w:hint="eastAsia"/>
                <w:sz w:val="32"/>
                <w:szCs w:val="32"/>
              </w:rPr>
              <w:t>检查</w:t>
            </w:r>
          </w:p>
          <w:p w:rsidR="00EA4DD4" w:rsidRDefault="00F43E31">
            <w:pPr>
              <w:jc w:val="center"/>
              <w:rPr>
                <w:rFonts w:ascii="黑体" w:eastAsia="黑体" w:hAnsi="黑体"/>
                <w:sz w:val="32"/>
                <w:szCs w:val="32"/>
              </w:rPr>
            </w:pPr>
            <w:r>
              <w:rPr>
                <w:rFonts w:ascii="黑体" w:eastAsia="黑体" w:hAnsi="黑体" w:hint="eastAsia"/>
                <w:sz w:val="32"/>
                <w:szCs w:val="32"/>
              </w:rPr>
              <w:t>对象</w:t>
            </w:r>
          </w:p>
        </w:tc>
        <w:tc>
          <w:tcPr>
            <w:tcW w:w="1134" w:type="dxa"/>
            <w:vMerge w:val="restart"/>
            <w:vAlign w:val="center"/>
          </w:tcPr>
          <w:p w:rsidR="00EA4DD4" w:rsidRDefault="00F43E31">
            <w:pPr>
              <w:jc w:val="center"/>
              <w:rPr>
                <w:rFonts w:ascii="黑体" w:eastAsia="黑体" w:hAnsi="黑体"/>
                <w:sz w:val="32"/>
                <w:szCs w:val="32"/>
              </w:rPr>
            </w:pPr>
            <w:r>
              <w:rPr>
                <w:rFonts w:ascii="黑体" w:eastAsia="黑体" w:hAnsi="黑体" w:hint="eastAsia"/>
                <w:sz w:val="32"/>
                <w:szCs w:val="32"/>
              </w:rPr>
              <w:t>事项</w:t>
            </w:r>
          </w:p>
          <w:p w:rsidR="00EA4DD4" w:rsidRDefault="00F43E31">
            <w:pPr>
              <w:jc w:val="center"/>
              <w:rPr>
                <w:rFonts w:ascii="黑体" w:eastAsia="黑体" w:hAnsi="黑体"/>
                <w:sz w:val="32"/>
                <w:szCs w:val="32"/>
              </w:rPr>
            </w:pPr>
            <w:r>
              <w:rPr>
                <w:rFonts w:ascii="黑体" w:eastAsia="黑体" w:hAnsi="黑体" w:hint="eastAsia"/>
                <w:sz w:val="32"/>
                <w:szCs w:val="32"/>
              </w:rPr>
              <w:t>类别</w:t>
            </w:r>
          </w:p>
        </w:tc>
        <w:tc>
          <w:tcPr>
            <w:tcW w:w="1276" w:type="dxa"/>
            <w:vMerge w:val="restart"/>
            <w:vAlign w:val="center"/>
          </w:tcPr>
          <w:p w:rsidR="00EA4DD4" w:rsidRDefault="00F43E31">
            <w:pPr>
              <w:jc w:val="center"/>
              <w:rPr>
                <w:rFonts w:ascii="黑体" w:eastAsia="黑体" w:hAnsi="黑体"/>
                <w:sz w:val="32"/>
                <w:szCs w:val="32"/>
              </w:rPr>
            </w:pPr>
            <w:r>
              <w:rPr>
                <w:rFonts w:ascii="黑体" w:eastAsia="黑体" w:hAnsi="黑体" w:hint="eastAsia"/>
                <w:sz w:val="32"/>
                <w:szCs w:val="32"/>
              </w:rPr>
              <w:t>检查</w:t>
            </w:r>
          </w:p>
          <w:p w:rsidR="00EA4DD4" w:rsidRDefault="00F43E31">
            <w:pPr>
              <w:jc w:val="center"/>
              <w:rPr>
                <w:rFonts w:ascii="黑体" w:eastAsia="黑体" w:hAnsi="黑体"/>
                <w:sz w:val="32"/>
                <w:szCs w:val="32"/>
              </w:rPr>
            </w:pPr>
            <w:r>
              <w:rPr>
                <w:rFonts w:ascii="黑体" w:eastAsia="黑体" w:hAnsi="黑体" w:hint="eastAsia"/>
                <w:sz w:val="32"/>
                <w:szCs w:val="32"/>
              </w:rPr>
              <w:t>方式</w:t>
            </w:r>
          </w:p>
        </w:tc>
        <w:tc>
          <w:tcPr>
            <w:tcW w:w="567" w:type="dxa"/>
            <w:vMerge w:val="restart"/>
            <w:vAlign w:val="center"/>
          </w:tcPr>
          <w:p w:rsidR="00EA4DD4" w:rsidRDefault="00F43E31">
            <w:pPr>
              <w:jc w:val="center"/>
              <w:rPr>
                <w:rFonts w:ascii="黑体" w:eastAsia="黑体" w:hAnsi="黑体"/>
                <w:sz w:val="32"/>
                <w:szCs w:val="32"/>
              </w:rPr>
            </w:pPr>
            <w:r>
              <w:rPr>
                <w:rFonts w:ascii="黑体" w:eastAsia="黑体" w:hAnsi="黑体" w:hint="eastAsia"/>
                <w:sz w:val="32"/>
                <w:szCs w:val="32"/>
              </w:rPr>
              <w:t>检查</w:t>
            </w:r>
          </w:p>
          <w:p w:rsidR="00EA4DD4" w:rsidRDefault="00F43E31">
            <w:pPr>
              <w:jc w:val="center"/>
              <w:rPr>
                <w:rFonts w:ascii="黑体" w:eastAsia="黑体" w:hAnsi="黑体"/>
                <w:sz w:val="32"/>
                <w:szCs w:val="32"/>
              </w:rPr>
            </w:pPr>
            <w:r>
              <w:rPr>
                <w:rFonts w:ascii="黑体" w:eastAsia="黑体" w:hAnsi="黑体" w:hint="eastAsia"/>
                <w:sz w:val="32"/>
                <w:szCs w:val="32"/>
              </w:rPr>
              <w:t>主体</w:t>
            </w:r>
          </w:p>
        </w:tc>
        <w:tc>
          <w:tcPr>
            <w:tcW w:w="6520" w:type="dxa"/>
            <w:vMerge w:val="restart"/>
            <w:vAlign w:val="center"/>
          </w:tcPr>
          <w:p w:rsidR="00EA4DD4" w:rsidRDefault="00F43E31">
            <w:pPr>
              <w:jc w:val="center"/>
              <w:rPr>
                <w:rFonts w:ascii="黑体" w:eastAsia="黑体" w:hAnsi="黑体"/>
                <w:sz w:val="32"/>
                <w:szCs w:val="32"/>
              </w:rPr>
            </w:pPr>
            <w:r>
              <w:rPr>
                <w:rFonts w:ascii="黑体" w:eastAsia="黑体" w:hAnsi="黑体" w:hint="eastAsia"/>
                <w:sz w:val="32"/>
                <w:szCs w:val="32"/>
              </w:rPr>
              <w:t>检查依据</w:t>
            </w:r>
          </w:p>
        </w:tc>
      </w:tr>
      <w:tr w:rsidR="00EA4DD4" w:rsidTr="00E428B8">
        <w:trPr>
          <w:trHeight w:val="509"/>
        </w:trPr>
        <w:tc>
          <w:tcPr>
            <w:tcW w:w="993" w:type="dxa"/>
            <w:vMerge/>
          </w:tcPr>
          <w:p w:rsidR="00EA4DD4" w:rsidRDefault="00EA4DD4">
            <w:pPr>
              <w:rPr>
                <w:rFonts w:ascii="黑体" w:eastAsia="黑体" w:hAnsi="黑体"/>
                <w:sz w:val="32"/>
                <w:szCs w:val="32"/>
              </w:rPr>
            </w:pPr>
          </w:p>
        </w:tc>
        <w:tc>
          <w:tcPr>
            <w:tcW w:w="1560" w:type="dxa"/>
          </w:tcPr>
          <w:p w:rsidR="00EA4DD4" w:rsidRDefault="00F43E31">
            <w:pPr>
              <w:rPr>
                <w:rFonts w:ascii="黑体" w:eastAsia="黑体" w:hAnsi="黑体"/>
                <w:sz w:val="32"/>
                <w:szCs w:val="32"/>
              </w:rPr>
            </w:pPr>
            <w:r>
              <w:rPr>
                <w:rFonts w:ascii="黑体" w:eastAsia="黑体" w:hAnsi="黑体" w:hint="eastAsia"/>
                <w:sz w:val="32"/>
                <w:szCs w:val="32"/>
              </w:rPr>
              <w:t>抽查类别</w:t>
            </w:r>
          </w:p>
        </w:tc>
        <w:tc>
          <w:tcPr>
            <w:tcW w:w="1559" w:type="dxa"/>
          </w:tcPr>
          <w:p w:rsidR="00EA4DD4" w:rsidRDefault="00F43E31">
            <w:pPr>
              <w:rPr>
                <w:rFonts w:ascii="黑体" w:eastAsia="黑体" w:hAnsi="黑体"/>
                <w:sz w:val="32"/>
                <w:szCs w:val="32"/>
              </w:rPr>
            </w:pPr>
            <w:r>
              <w:rPr>
                <w:rFonts w:ascii="黑体" w:eastAsia="黑体" w:hAnsi="黑体" w:hint="eastAsia"/>
                <w:sz w:val="32"/>
                <w:szCs w:val="32"/>
              </w:rPr>
              <w:t>抽查事项</w:t>
            </w:r>
          </w:p>
        </w:tc>
        <w:tc>
          <w:tcPr>
            <w:tcW w:w="1134" w:type="dxa"/>
            <w:vMerge/>
          </w:tcPr>
          <w:p w:rsidR="00EA4DD4" w:rsidRDefault="00EA4DD4">
            <w:pPr>
              <w:rPr>
                <w:rFonts w:ascii="黑体" w:eastAsia="黑体" w:hAnsi="黑体"/>
                <w:sz w:val="32"/>
                <w:szCs w:val="32"/>
              </w:rPr>
            </w:pPr>
          </w:p>
        </w:tc>
        <w:tc>
          <w:tcPr>
            <w:tcW w:w="1134" w:type="dxa"/>
            <w:vMerge/>
          </w:tcPr>
          <w:p w:rsidR="00EA4DD4" w:rsidRDefault="00EA4DD4">
            <w:pPr>
              <w:rPr>
                <w:rFonts w:ascii="黑体" w:eastAsia="黑体" w:hAnsi="黑体"/>
                <w:sz w:val="32"/>
                <w:szCs w:val="32"/>
              </w:rPr>
            </w:pPr>
          </w:p>
        </w:tc>
        <w:tc>
          <w:tcPr>
            <w:tcW w:w="1276" w:type="dxa"/>
            <w:vMerge/>
          </w:tcPr>
          <w:p w:rsidR="00EA4DD4" w:rsidRDefault="00EA4DD4">
            <w:pPr>
              <w:rPr>
                <w:rFonts w:ascii="黑体" w:eastAsia="黑体" w:hAnsi="黑体"/>
                <w:sz w:val="32"/>
                <w:szCs w:val="32"/>
              </w:rPr>
            </w:pPr>
          </w:p>
        </w:tc>
        <w:tc>
          <w:tcPr>
            <w:tcW w:w="567" w:type="dxa"/>
            <w:vMerge/>
          </w:tcPr>
          <w:p w:rsidR="00EA4DD4" w:rsidRDefault="00EA4DD4">
            <w:pPr>
              <w:rPr>
                <w:rFonts w:ascii="黑体" w:eastAsia="黑体" w:hAnsi="黑体"/>
                <w:sz w:val="32"/>
                <w:szCs w:val="32"/>
              </w:rPr>
            </w:pPr>
          </w:p>
        </w:tc>
        <w:tc>
          <w:tcPr>
            <w:tcW w:w="6520" w:type="dxa"/>
            <w:vMerge/>
          </w:tcPr>
          <w:p w:rsidR="00EA4DD4" w:rsidRDefault="00EA4DD4">
            <w:pPr>
              <w:rPr>
                <w:rFonts w:ascii="黑体" w:eastAsia="黑体" w:hAnsi="黑体"/>
                <w:sz w:val="32"/>
                <w:szCs w:val="32"/>
              </w:rPr>
            </w:pPr>
          </w:p>
        </w:tc>
      </w:tr>
      <w:tr w:rsidR="00E428B8" w:rsidTr="00E428B8">
        <w:trPr>
          <w:trHeight w:val="2576"/>
        </w:trPr>
        <w:tc>
          <w:tcPr>
            <w:tcW w:w="993" w:type="dxa"/>
            <w:vAlign w:val="center"/>
          </w:tcPr>
          <w:p w:rsidR="00E428B8" w:rsidRPr="005F6FFD" w:rsidRDefault="00E428B8" w:rsidP="005B3004">
            <w:pPr>
              <w:spacing w:line="400" w:lineRule="exact"/>
              <w:jc w:val="center"/>
              <w:rPr>
                <w:color w:val="000000"/>
                <w:sz w:val="24"/>
                <w:szCs w:val="24"/>
              </w:rPr>
            </w:pPr>
            <w:r w:rsidRPr="005F6FFD">
              <w:rPr>
                <w:rFonts w:hint="eastAsia"/>
                <w:color w:val="000000"/>
                <w:sz w:val="24"/>
                <w:szCs w:val="24"/>
              </w:rPr>
              <w:t>1</w:t>
            </w:r>
          </w:p>
        </w:tc>
        <w:tc>
          <w:tcPr>
            <w:tcW w:w="1560" w:type="dxa"/>
            <w:vAlign w:val="center"/>
          </w:tcPr>
          <w:p w:rsidR="00E428B8" w:rsidRPr="005F6FFD" w:rsidRDefault="00E428B8" w:rsidP="005B3004">
            <w:pPr>
              <w:spacing w:line="400" w:lineRule="exact"/>
              <w:jc w:val="center"/>
              <w:rPr>
                <w:color w:val="000000"/>
                <w:sz w:val="24"/>
                <w:szCs w:val="24"/>
              </w:rPr>
            </w:pPr>
            <w:r w:rsidRPr="00DD7CDC">
              <w:rPr>
                <w:rFonts w:hint="eastAsia"/>
                <w:color w:val="000000"/>
                <w:sz w:val="24"/>
                <w:szCs w:val="24"/>
              </w:rPr>
              <w:t>教育教学专项督导</w:t>
            </w:r>
          </w:p>
        </w:tc>
        <w:tc>
          <w:tcPr>
            <w:tcW w:w="1559" w:type="dxa"/>
            <w:vAlign w:val="center"/>
          </w:tcPr>
          <w:p w:rsidR="00E428B8" w:rsidRDefault="00E428B8" w:rsidP="00AF73AB">
            <w:pPr>
              <w:widowControl/>
              <w:jc w:val="center"/>
              <w:textAlignment w:val="center"/>
              <w:rPr>
                <w:rFonts w:ascii="仿宋_GB2312" w:eastAsia="仿宋_GB2312" w:hAnsi="宋体" w:cs="宋体"/>
                <w:kern w:val="0"/>
                <w:sz w:val="22"/>
              </w:rPr>
            </w:pPr>
            <w:r>
              <w:rPr>
                <w:rFonts w:ascii="仿宋_GB2312" w:eastAsia="仿宋_GB2312" w:hAnsi="宋体" w:cs="宋体" w:hint="eastAsia"/>
                <w:kern w:val="0"/>
                <w:sz w:val="22"/>
              </w:rPr>
              <w:t>教育教学</w:t>
            </w:r>
            <w:r w:rsidR="00AF73AB">
              <w:rPr>
                <w:rFonts w:ascii="仿宋_GB2312" w:eastAsia="仿宋_GB2312" w:hAnsi="宋体" w:cs="宋体" w:hint="eastAsia"/>
                <w:kern w:val="0"/>
                <w:sz w:val="22"/>
              </w:rPr>
              <w:t>质量</w:t>
            </w:r>
          </w:p>
        </w:tc>
        <w:tc>
          <w:tcPr>
            <w:tcW w:w="1134" w:type="dxa"/>
            <w:vAlign w:val="center"/>
          </w:tcPr>
          <w:p w:rsidR="008F58DC" w:rsidRPr="00B7251C" w:rsidRDefault="008F58DC" w:rsidP="008F58DC">
            <w:pPr>
              <w:spacing w:line="400" w:lineRule="exact"/>
              <w:rPr>
                <w:color w:val="000000"/>
                <w:sz w:val="24"/>
                <w:szCs w:val="24"/>
              </w:rPr>
            </w:pPr>
            <w:r w:rsidRPr="00B7251C">
              <w:rPr>
                <w:rFonts w:hint="eastAsia"/>
                <w:color w:val="000000"/>
                <w:sz w:val="24"/>
                <w:szCs w:val="24"/>
              </w:rPr>
              <w:t>公民办学校</w:t>
            </w:r>
            <w:r>
              <w:rPr>
                <w:rFonts w:hint="eastAsia"/>
                <w:color w:val="000000"/>
                <w:sz w:val="24"/>
                <w:szCs w:val="24"/>
              </w:rPr>
              <w:t>幼儿园等</w:t>
            </w:r>
          </w:p>
          <w:p w:rsidR="00E428B8" w:rsidRDefault="00E428B8">
            <w:pPr>
              <w:rPr>
                <w:rFonts w:ascii="仿宋_GB2312" w:eastAsia="仿宋_GB2312" w:hAnsi="宋体" w:cs="宋体"/>
                <w:kern w:val="0"/>
                <w:sz w:val="22"/>
              </w:rPr>
            </w:pPr>
          </w:p>
        </w:tc>
        <w:tc>
          <w:tcPr>
            <w:tcW w:w="1134" w:type="dxa"/>
            <w:vAlign w:val="center"/>
          </w:tcPr>
          <w:p w:rsidR="00E428B8" w:rsidRDefault="00E428B8">
            <w:pPr>
              <w:rPr>
                <w:rFonts w:ascii="仿宋_GB2312" w:eastAsia="仿宋_GB2312" w:hAnsi="宋体" w:cs="宋体"/>
                <w:kern w:val="0"/>
                <w:sz w:val="22"/>
              </w:rPr>
            </w:pPr>
            <w:r>
              <w:rPr>
                <w:rFonts w:ascii="仿宋_GB2312" w:eastAsia="仿宋_GB2312" w:hAnsi="宋体" w:cs="宋体" w:hint="eastAsia"/>
                <w:kern w:val="0"/>
                <w:sz w:val="22"/>
              </w:rPr>
              <w:t>重点检查事项</w:t>
            </w:r>
          </w:p>
        </w:tc>
        <w:tc>
          <w:tcPr>
            <w:tcW w:w="1276" w:type="dxa"/>
            <w:vAlign w:val="center"/>
          </w:tcPr>
          <w:p w:rsidR="00E428B8" w:rsidRDefault="00E428B8">
            <w:pPr>
              <w:jc w:val="center"/>
              <w:rPr>
                <w:rFonts w:ascii="仿宋_GB2312" w:eastAsia="仿宋_GB2312" w:hAnsi="宋体" w:cs="宋体"/>
                <w:kern w:val="0"/>
                <w:sz w:val="22"/>
              </w:rPr>
            </w:pPr>
            <w:r>
              <w:rPr>
                <w:rFonts w:ascii="仿宋_GB2312" w:eastAsia="仿宋_GB2312" w:hAnsi="宋体" w:cs="宋体" w:hint="eastAsia"/>
                <w:kern w:val="0"/>
                <w:sz w:val="22"/>
              </w:rPr>
              <w:t>现场检查</w:t>
            </w:r>
          </w:p>
        </w:tc>
        <w:tc>
          <w:tcPr>
            <w:tcW w:w="567" w:type="dxa"/>
            <w:vAlign w:val="center"/>
          </w:tcPr>
          <w:p w:rsidR="00E428B8" w:rsidRDefault="00E428B8" w:rsidP="00E428B8">
            <w:pPr>
              <w:rPr>
                <w:rFonts w:ascii="仿宋_GB2312" w:eastAsia="仿宋_GB2312" w:hAnsi="宋体" w:cs="宋体"/>
                <w:kern w:val="0"/>
                <w:sz w:val="22"/>
              </w:rPr>
            </w:pPr>
            <w:r>
              <w:rPr>
                <w:rFonts w:ascii="仿宋_GB2312" w:eastAsia="仿宋_GB2312" w:hAnsi="宋体" w:cs="宋体" w:hint="eastAsia"/>
                <w:kern w:val="0"/>
                <w:sz w:val="22"/>
              </w:rPr>
              <w:t>市、县（区）级教育部门</w:t>
            </w:r>
          </w:p>
        </w:tc>
        <w:tc>
          <w:tcPr>
            <w:tcW w:w="6520" w:type="dxa"/>
            <w:vAlign w:val="center"/>
          </w:tcPr>
          <w:p w:rsidR="00E428B8" w:rsidRPr="005F6FFD" w:rsidRDefault="00E428B8" w:rsidP="005B3004">
            <w:pPr>
              <w:spacing w:line="400" w:lineRule="exact"/>
              <w:jc w:val="left"/>
              <w:rPr>
                <w:color w:val="000000"/>
                <w:sz w:val="24"/>
                <w:szCs w:val="24"/>
              </w:rPr>
            </w:pPr>
            <w:r w:rsidRPr="00DD7CDC">
              <w:rPr>
                <w:color w:val="000000"/>
                <w:sz w:val="24"/>
                <w:szCs w:val="24"/>
              </w:rPr>
              <w:t>1.</w:t>
            </w:r>
            <w:r w:rsidRPr="00DD7CDC">
              <w:rPr>
                <w:rFonts w:hint="eastAsia"/>
                <w:color w:val="000000"/>
                <w:sz w:val="24"/>
                <w:szCs w:val="24"/>
              </w:rPr>
              <w:t>《教育法》第二十四条</w:t>
            </w:r>
            <w:r w:rsidRPr="00DD7CDC">
              <w:rPr>
                <w:rFonts w:hint="cs"/>
                <w:color w:val="000000"/>
                <w:sz w:val="24"/>
                <w:szCs w:val="24"/>
              </w:rPr>
              <w:t> </w:t>
            </w:r>
            <w:r w:rsidRPr="00DD7CDC">
              <w:rPr>
                <w:rFonts w:hint="eastAsia"/>
                <w:color w:val="000000"/>
                <w:sz w:val="24"/>
                <w:szCs w:val="24"/>
              </w:rPr>
              <w:t>国家实行教育督导制度和学校及其他教育机构教育评估制度。第八条</w:t>
            </w:r>
            <w:r w:rsidRPr="00DD7CDC">
              <w:rPr>
                <w:rFonts w:hint="cs"/>
                <w:color w:val="000000"/>
                <w:sz w:val="24"/>
                <w:szCs w:val="24"/>
              </w:rPr>
              <w:t> </w:t>
            </w:r>
            <w:r w:rsidRPr="00DD7CDC">
              <w:rPr>
                <w:rFonts w:hint="eastAsia"/>
                <w:color w:val="000000"/>
                <w:sz w:val="24"/>
                <w:szCs w:val="24"/>
              </w:rPr>
              <w:t>人民政府教育督导机构对义务教育工作执行法律法规情况、教育教学质量以及义务教育均衡发展状况等进行督导，督导报告向社会公布。</w:t>
            </w:r>
            <w:r w:rsidRPr="00DD7CDC">
              <w:rPr>
                <w:color w:val="000000"/>
                <w:sz w:val="24"/>
                <w:szCs w:val="24"/>
              </w:rPr>
              <w:t>3.</w:t>
            </w:r>
            <w:r w:rsidRPr="00DD7CDC">
              <w:rPr>
                <w:rFonts w:hint="eastAsia"/>
                <w:color w:val="000000"/>
                <w:sz w:val="24"/>
                <w:szCs w:val="24"/>
              </w:rPr>
              <w:t>《教育督导条例》（国务院令</w:t>
            </w:r>
            <w:r w:rsidRPr="00DD7CDC">
              <w:rPr>
                <w:color w:val="000000"/>
                <w:sz w:val="24"/>
                <w:szCs w:val="24"/>
              </w:rPr>
              <w:t>624</w:t>
            </w:r>
            <w:r w:rsidRPr="00DD7CDC">
              <w:rPr>
                <w:rFonts w:hint="eastAsia"/>
                <w:color w:val="000000"/>
                <w:sz w:val="24"/>
                <w:szCs w:val="24"/>
              </w:rPr>
              <w:t>号）。第二条</w:t>
            </w:r>
            <w:r w:rsidRPr="00DD7CDC">
              <w:rPr>
                <w:rFonts w:hint="cs"/>
                <w:color w:val="000000"/>
                <w:sz w:val="24"/>
                <w:szCs w:val="24"/>
              </w:rPr>
              <w:t> </w:t>
            </w:r>
            <w:r w:rsidRPr="00DD7CDC">
              <w:rPr>
                <w:rFonts w:hint="eastAsia"/>
                <w:color w:val="000000"/>
                <w:sz w:val="24"/>
                <w:szCs w:val="24"/>
              </w:rPr>
              <w:t>对法律法规规定范围的各级各类教育实施教育督导。第四条　国务院教育督导机构承担全国的教育督导实施工作，制定教育督导的基本准则，指导地方教育督导工作。县级以上地方人民政府负责教育督导的机构承担本行政区域的教育督导实施工作。</w:t>
            </w:r>
          </w:p>
        </w:tc>
      </w:tr>
      <w:tr w:rsidR="00E428B8" w:rsidTr="00E428B8">
        <w:trPr>
          <w:trHeight w:val="2936"/>
        </w:trPr>
        <w:tc>
          <w:tcPr>
            <w:tcW w:w="993" w:type="dxa"/>
            <w:vAlign w:val="center"/>
          </w:tcPr>
          <w:p w:rsidR="00E428B8" w:rsidRPr="005F6FFD" w:rsidRDefault="00E428B8" w:rsidP="005B3004">
            <w:pPr>
              <w:spacing w:line="360" w:lineRule="exact"/>
              <w:jc w:val="center"/>
              <w:rPr>
                <w:color w:val="000000"/>
                <w:sz w:val="24"/>
                <w:szCs w:val="24"/>
              </w:rPr>
            </w:pPr>
            <w:r w:rsidRPr="005F6FFD">
              <w:rPr>
                <w:rFonts w:hint="eastAsia"/>
                <w:color w:val="000000"/>
                <w:sz w:val="24"/>
                <w:szCs w:val="24"/>
              </w:rPr>
              <w:lastRenderedPageBreak/>
              <w:t>2</w:t>
            </w:r>
          </w:p>
          <w:p w:rsidR="00E428B8" w:rsidRPr="005F6FFD" w:rsidRDefault="00E428B8" w:rsidP="005B3004">
            <w:pPr>
              <w:spacing w:line="360" w:lineRule="exact"/>
              <w:jc w:val="center"/>
              <w:rPr>
                <w:color w:val="000000"/>
                <w:sz w:val="24"/>
                <w:szCs w:val="24"/>
              </w:rPr>
            </w:pPr>
          </w:p>
        </w:tc>
        <w:tc>
          <w:tcPr>
            <w:tcW w:w="1560" w:type="dxa"/>
            <w:vAlign w:val="center"/>
          </w:tcPr>
          <w:p w:rsidR="00E428B8" w:rsidRPr="00DD7CDC" w:rsidRDefault="00E428B8" w:rsidP="005B3004">
            <w:pPr>
              <w:spacing w:line="360" w:lineRule="exact"/>
              <w:jc w:val="center"/>
              <w:rPr>
                <w:color w:val="000000"/>
                <w:sz w:val="24"/>
                <w:szCs w:val="24"/>
              </w:rPr>
            </w:pPr>
            <w:r w:rsidRPr="00DD7CDC">
              <w:rPr>
                <w:rFonts w:hint="eastAsia"/>
                <w:color w:val="000000"/>
                <w:sz w:val="24"/>
                <w:szCs w:val="24"/>
              </w:rPr>
              <w:t>中小学、幼儿园、民办学校等办学行为的监督、指导</w:t>
            </w:r>
          </w:p>
          <w:p w:rsidR="00E428B8" w:rsidRPr="00DD7CDC" w:rsidRDefault="00E428B8" w:rsidP="005B3004">
            <w:pPr>
              <w:spacing w:line="360" w:lineRule="exact"/>
              <w:jc w:val="center"/>
              <w:rPr>
                <w:color w:val="000000"/>
                <w:sz w:val="24"/>
                <w:szCs w:val="24"/>
              </w:rPr>
            </w:pPr>
          </w:p>
        </w:tc>
        <w:tc>
          <w:tcPr>
            <w:tcW w:w="1559" w:type="dxa"/>
            <w:vAlign w:val="center"/>
          </w:tcPr>
          <w:p w:rsidR="00E428B8" w:rsidRDefault="00E428B8" w:rsidP="005B3004">
            <w:pPr>
              <w:widowControl/>
              <w:jc w:val="center"/>
              <w:textAlignment w:val="center"/>
              <w:rPr>
                <w:rFonts w:ascii="仿宋_GB2312" w:eastAsia="仿宋_GB2312" w:hAnsi="宋体" w:cs="宋体"/>
                <w:kern w:val="0"/>
                <w:sz w:val="22"/>
              </w:rPr>
            </w:pPr>
            <w:r>
              <w:rPr>
                <w:rFonts w:ascii="仿宋_GB2312" w:eastAsia="仿宋_GB2312" w:hAnsi="宋体" w:cs="宋体" w:hint="eastAsia"/>
                <w:kern w:val="0"/>
                <w:sz w:val="22"/>
              </w:rPr>
              <w:t>办学行为</w:t>
            </w:r>
          </w:p>
        </w:tc>
        <w:tc>
          <w:tcPr>
            <w:tcW w:w="1134" w:type="dxa"/>
            <w:vAlign w:val="center"/>
          </w:tcPr>
          <w:p w:rsidR="008F58DC" w:rsidRPr="00B7251C" w:rsidRDefault="008F58DC" w:rsidP="008F58DC">
            <w:pPr>
              <w:spacing w:line="400" w:lineRule="exact"/>
              <w:rPr>
                <w:color w:val="000000"/>
                <w:sz w:val="24"/>
                <w:szCs w:val="24"/>
              </w:rPr>
            </w:pPr>
            <w:r w:rsidRPr="00B7251C">
              <w:rPr>
                <w:rFonts w:hint="eastAsia"/>
                <w:color w:val="000000"/>
                <w:sz w:val="24"/>
                <w:szCs w:val="24"/>
              </w:rPr>
              <w:t>公民办学校</w:t>
            </w:r>
            <w:r>
              <w:rPr>
                <w:rFonts w:hint="eastAsia"/>
                <w:color w:val="000000"/>
                <w:sz w:val="24"/>
                <w:szCs w:val="24"/>
              </w:rPr>
              <w:t>幼儿园等</w:t>
            </w:r>
          </w:p>
          <w:p w:rsidR="00E428B8" w:rsidRDefault="00E428B8" w:rsidP="005B3004">
            <w:pPr>
              <w:rPr>
                <w:rFonts w:ascii="仿宋_GB2312" w:eastAsia="仿宋_GB2312" w:hAnsi="宋体" w:cs="宋体"/>
                <w:kern w:val="0"/>
                <w:sz w:val="22"/>
              </w:rPr>
            </w:pPr>
          </w:p>
        </w:tc>
        <w:tc>
          <w:tcPr>
            <w:tcW w:w="1134" w:type="dxa"/>
            <w:vAlign w:val="center"/>
          </w:tcPr>
          <w:p w:rsidR="00E428B8" w:rsidRDefault="00E428B8" w:rsidP="005B3004">
            <w:pPr>
              <w:rPr>
                <w:rFonts w:ascii="仿宋_GB2312" w:eastAsia="仿宋_GB2312" w:hAnsi="宋体" w:cs="宋体"/>
                <w:kern w:val="0"/>
                <w:sz w:val="22"/>
              </w:rPr>
            </w:pPr>
            <w:r>
              <w:rPr>
                <w:rFonts w:ascii="仿宋_GB2312" w:eastAsia="仿宋_GB2312" w:hAnsi="宋体" w:cs="宋体" w:hint="eastAsia"/>
                <w:kern w:val="0"/>
                <w:sz w:val="22"/>
              </w:rPr>
              <w:t>重点检查事项</w:t>
            </w:r>
          </w:p>
        </w:tc>
        <w:tc>
          <w:tcPr>
            <w:tcW w:w="1276" w:type="dxa"/>
            <w:vAlign w:val="center"/>
          </w:tcPr>
          <w:p w:rsidR="00E428B8" w:rsidRDefault="00E428B8" w:rsidP="005B3004">
            <w:pPr>
              <w:jc w:val="center"/>
              <w:rPr>
                <w:rFonts w:ascii="仿宋_GB2312" w:eastAsia="仿宋_GB2312" w:hAnsi="宋体" w:cs="宋体"/>
                <w:kern w:val="0"/>
                <w:sz w:val="22"/>
              </w:rPr>
            </w:pPr>
            <w:r>
              <w:rPr>
                <w:rFonts w:ascii="仿宋_GB2312" w:eastAsia="仿宋_GB2312" w:hAnsi="宋体" w:cs="宋体" w:hint="eastAsia"/>
                <w:kern w:val="0"/>
                <w:sz w:val="22"/>
              </w:rPr>
              <w:t>现场检查</w:t>
            </w:r>
          </w:p>
        </w:tc>
        <w:tc>
          <w:tcPr>
            <w:tcW w:w="567" w:type="dxa"/>
            <w:vAlign w:val="center"/>
          </w:tcPr>
          <w:p w:rsidR="00E428B8" w:rsidRDefault="00E428B8" w:rsidP="005B3004">
            <w:pPr>
              <w:rPr>
                <w:rFonts w:ascii="仿宋_GB2312" w:eastAsia="仿宋_GB2312" w:hAnsi="宋体" w:cs="宋体"/>
                <w:kern w:val="0"/>
                <w:sz w:val="22"/>
              </w:rPr>
            </w:pPr>
            <w:r>
              <w:rPr>
                <w:rFonts w:ascii="仿宋_GB2312" w:eastAsia="仿宋_GB2312" w:hAnsi="宋体" w:cs="宋体" w:hint="eastAsia"/>
                <w:kern w:val="0"/>
                <w:sz w:val="22"/>
              </w:rPr>
              <w:t>市、县（区）级教育部门</w:t>
            </w:r>
          </w:p>
        </w:tc>
        <w:tc>
          <w:tcPr>
            <w:tcW w:w="6520" w:type="dxa"/>
            <w:vAlign w:val="center"/>
          </w:tcPr>
          <w:p w:rsidR="00E428B8" w:rsidRPr="005F6FFD" w:rsidRDefault="00E428B8" w:rsidP="005B3004">
            <w:pPr>
              <w:spacing w:line="360" w:lineRule="exact"/>
              <w:jc w:val="left"/>
              <w:rPr>
                <w:color w:val="000000"/>
                <w:sz w:val="24"/>
                <w:szCs w:val="24"/>
              </w:rPr>
            </w:pPr>
            <w:r w:rsidRPr="007561F7">
              <w:rPr>
                <w:color w:val="000000"/>
                <w:sz w:val="24"/>
                <w:szCs w:val="24"/>
              </w:rPr>
              <w:t>1.</w:t>
            </w:r>
            <w:r w:rsidRPr="007561F7">
              <w:rPr>
                <w:rFonts w:hint="eastAsia"/>
                <w:color w:val="000000"/>
                <w:sz w:val="24"/>
                <w:szCs w:val="24"/>
              </w:rPr>
              <w:t>《教育法》第十五条</w:t>
            </w:r>
            <w:r w:rsidRPr="007561F7">
              <w:rPr>
                <w:rFonts w:hint="cs"/>
                <w:color w:val="000000"/>
                <w:sz w:val="24"/>
                <w:szCs w:val="24"/>
              </w:rPr>
              <w:t> </w:t>
            </w:r>
            <w:r w:rsidRPr="007561F7">
              <w:rPr>
                <w:rFonts w:hint="eastAsia"/>
                <w:color w:val="000000"/>
                <w:sz w:val="24"/>
                <w:szCs w:val="24"/>
              </w:rPr>
              <w:t>国务院教育行政部门主管全国教育工作，统筹规划、协调管理全国的教育事业。县级以上地方各级人民政府教育行政部门主管本行政区域内的教育工作</w:t>
            </w:r>
            <w:r w:rsidRPr="007561F7">
              <w:rPr>
                <w:color w:val="000000"/>
                <w:sz w:val="24"/>
                <w:szCs w:val="24"/>
              </w:rPr>
              <w:t xml:space="preserve"> </w:t>
            </w:r>
            <w:r w:rsidRPr="007561F7">
              <w:rPr>
                <w:rFonts w:hint="eastAsia"/>
                <w:color w:val="000000"/>
                <w:sz w:val="24"/>
                <w:szCs w:val="24"/>
              </w:rPr>
              <w:t>。</w:t>
            </w:r>
            <w:r w:rsidRPr="007561F7">
              <w:rPr>
                <w:color w:val="000000"/>
                <w:sz w:val="24"/>
                <w:szCs w:val="24"/>
              </w:rPr>
              <w:t>2.</w:t>
            </w:r>
            <w:r w:rsidRPr="007561F7">
              <w:rPr>
                <w:rFonts w:hint="eastAsia"/>
                <w:color w:val="000000"/>
                <w:sz w:val="24"/>
                <w:szCs w:val="24"/>
              </w:rPr>
              <w:t>《义务教育法实施细则》（</w:t>
            </w:r>
            <w:r w:rsidRPr="007561F7">
              <w:rPr>
                <w:color w:val="000000"/>
                <w:sz w:val="24"/>
                <w:szCs w:val="24"/>
              </w:rPr>
              <w:t>1992</w:t>
            </w:r>
            <w:r w:rsidRPr="007561F7">
              <w:rPr>
                <w:rFonts w:hint="eastAsia"/>
                <w:color w:val="000000"/>
                <w:sz w:val="24"/>
                <w:szCs w:val="24"/>
              </w:rPr>
              <w:t>年国家教委令第</w:t>
            </w:r>
            <w:r w:rsidRPr="007561F7">
              <w:rPr>
                <w:color w:val="000000"/>
                <w:sz w:val="24"/>
                <w:szCs w:val="24"/>
              </w:rPr>
              <w:t>19</w:t>
            </w:r>
            <w:r w:rsidRPr="007561F7">
              <w:rPr>
                <w:rFonts w:hint="eastAsia"/>
                <w:color w:val="000000"/>
                <w:sz w:val="24"/>
                <w:szCs w:val="24"/>
              </w:rPr>
              <w:t>号）。第三条</w:t>
            </w:r>
            <w:r w:rsidRPr="007561F7">
              <w:rPr>
                <w:color w:val="000000"/>
                <w:sz w:val="24"/>
                <w:szCs w:val="24"/>
              </w:rPr>
              <w:t xml:space="preserve"> </w:t>
            </w:r>
            <w:r w:rsidRPr="007561F7">
              <w:rPr>
                <w:rFonts w:hint="eastAsia"/>
                <w:color w:val="000000"/>
                <w:sz w:val="24"/>
                <w:szCs w:val="24"/>
              </w:rPr>
              <w:t>各级教育主管部门在本级人民政府领导下，具体负责组织、管理本行政区域内实施义务教育的工作。第三十六条</w:t>
            </w:r>
            <w:r w:rsidRPr="007561F7">
              <w:rPr>
                <w:color w:val="000000"/>
                <w:sz w:val="24"/>
                <w:szCs w:val="24"/>
              </w:rPr>
              <w:t xml:space="preserve"> </w:t>
            </w:r>
            <w:r w:rsidRPr="007561F7">
              <w:rPr>
                <w:rFonts w:hint="eastAsia"/>
                <w:color w:val="000000"/>
                <w:sz w:val="24"/>
                <w:szCs w:val="24"/>
              </w:rPr>
              <w:t>实施义务教育的学校及其它机构，在实施义务教育的工作上接受当地人民政府及其教育主管部门的管理、指导和监督。</w:t>
            </w:r>
            <w:r w:rsidRPr="007561F7">
              <w:rPr>
                <w:color w:val="000000"/>
                <w:sz w:val="24"/>
                <w:szCs w:val="24"/>
              </w:rPr>
              <w:t>3.</w:t>
            </w:r>
            <w:r w:rsidRPr="007561F7">
              <w:rPr>
                <w:rFonts w:hint="eastAsia"/>
                <w:color w:val="000000"/>
                <w:sz w:val="24"/>
                <w:szCs w:val="24"/>
              </w:rPr>
              <w:t>《幼儿园管理条例》（</w:t>
            </w:r>
            <w:r w:rsidRPr="007561F7">
              <w:rPr>
                <w:color w:val="000000"/>
                <w:sz w:val="24"/>
                <w:szCs w:val="24"/>
              </w:rPr>
              <w:t>1989</w:t>
            </w:r>
            <w:r w:rsidRPr="007561F7">
              <w:rPr>
                <w:rFonts w:hint="eastAsia"/>
                <w:color w:val="000000"/>
                <w:sz w:val="24"/>
                <w:szCs w:val="24"/>
              </w:rPr>
              <w:t>年国家教育委员会令第</w:t>
            </w:r>
            <w:r w:rsidRPr="007561F7">
              <w:rPr>
                <w:color w:val="000000"/>
                <w:sz w:val="24"/>
                <w:szCs w:val="24"/>
              </w:rPr>
              <w:t>4</w:t>
            </w:r>
            <w:r w:rsidRPr="007561F7">
              <w:rPr>
                <w:rFonts w:hint="eastAsia"/>
                <w:color w:val="000000"/>
                <w:sz w:val="24"/>
                <w:szCs w:val="24"/>
              </w:rPr>
              <w:t>号）第二十二条各级教育行政部门应当负责监督、评估和指导幼儿园的保育、教育工作，组织培训幼儿园的师资，审定、考核幼儿园教师的资格，并协助卫生行政部门检查和指导幼儿园的卫生保健工作，会同建设行政部门制定幼儿园园舍、设施的标准。</w:t>
            </w:r>
            <w:r w:rsidRPr="007561F7">
              <w:rPr>
                <w:rFonts w:hint="eastAsia"/>
                <w:color w:val="000000"/>
                <w:sz w:val="24"/>
                <w:szCs w:val="24"/>
              </w:rPr>
              <w:t>4.</w:t>
            </w:r>
            <w:r w:rsidRPr="007561F7">
              <w:rPr>
                <w:rFonts w:hint="eastAsia"/>
                <w:color w:val="000000"/>
                <w:sz w:val="24"/>
                <w:szCs w:val="24"/>
              </w:rPr>
              <w:t>《特殊教育学校暂行规定》（</w:t>
            </w:r>
            <w:r w:rsidRPr="007561F7">
              <w:rPr>
                <w:rFonts w:hint="eastAsia"/>
                <w:color w:val="000000"/>
                <w:sz w:val="24"/>
                <w:szCs w:val="24"/>
              </w:rPr>
              <w:t>1998</w:t>
            </w:r>
            <w:r w:rsidRPr="007561F7">
              <w:rPr>
                <w:rFonts w:hint="eastAsia"/>
                <w:color w:val="000000"/>
                <w:sz w:val="24"/>
                <w:szCs w:val="24"/>
              </w:rPr>
              <w:t>年教育部令第</w:t>
            </w:r>
            <w:r w:rsidRPr="007561F7">
              <w:rPr>
                <w:rFonts w:hint="eastAsia"/>
                <w:color w:val="000000"/>
                <w:sz w:val="24"/>
                <w:szCs w:val="24"/>
              </w:rPr>
              <w:t>1</w:t>
            </w:r>
            <w:r w:rsidRPr="007561F7">
              <w:rPr>
                <w:rFonts w:hint="eastAsia"/>
                <w:color w:val="000000"/>
                <w:sz w:val="24"/>
                <w:szCs w:val="24"/>
              </w:rPr>
              <w:t>号）第八条</w:t>
            </w:r>
            <w:r w:rsidRPr="007561F7">
              <w:rPr>
                <w:rFonts w:hint="eastAsia"/>
                <w:color w:val="000000"/>
                <w:sz w:val="24"/>
                <w:szCs w:val="24"/>
              </w:rPr>
              <w:t xml:space="preserve"> </w:t>
            </w:r>
            <w:r w:rsidRPr="007561F7">
              <w:rPr>
                <w:rFonts w:hint="eastAsia"/>
                <w:color w:val="000000"/>
                <w:sz w:val="24"/>
                <w:szCs w:val="24"/>
              </w:rPr>
              <w:t>“按照‘分级管理、分工负责’的原则，特殊教育学校在当地人民政府领导下实施教育工作。特殊教育学校应接受教育行政部门或上级主管部门的检查、监督和指导，要如实报告工作，反映情况。学年末，学校要向主管教育行政部门报告工作，重大问题应随时报告。”</w:t>
            </w:r>
          </w:p>
        </w:tc>
      </w:tr>
      <w:tr w:rsidR="00E428B8" w:rsidTr="00E428B8">
        <w:trPr>
          <w:trHeight w:val="1684"/>
        </w:trPr>
        <w:tc>
          <w:tcPr>
            <w:tcW w:w="993" w:type="dxa"/>
            <w:vAlign w:val="center"/>
          </w:tcPr>
          <w:p w:rsidR="00E428B8" w:rsidRPr="005F6FFD" w:rsidRDefault="00E428B8" w:rsidP="005B3004">
            <w:pPr>
              <w:spacing w:line="400" w:lineRule="exact"/>
              <w:jc w:val="center"/>
              <w:rPr>
                <w:color w:val="000000"/>
                <w:sz w:val="24"/>
                <w:szCs w:val="24"/>
              </w:rPr>
            </w:pPr>
            <w:r>
              <w:rPr>
                <w:rFonts w:hint="eastAsia"/>
                <w:color w:val="000000"/>
                <w:sz w:val="24"/>
                <w:szCs w:val="24"/>
              </w:rPr>
              <w:lastRenderedPageBreak/>
              <w:t>3</w:t>
            </w:r>
          </w:p>
        </w:tc>
        <w:tc>
          <w:tcPr>
            <w:tcW w:w="1560" w:type="dxa"/>
            <w:vAlign w:val="center"/>
          </w:tcPr>
          <w:p w:rsidR="00E428B8" w:rsidRPr="00D32B2C" w:rsidRDefault="00E428B8" w:rsidP="005B3004">
            <w:pPr>
              <w:spacing w:line="400" w:lineRule="exact"/>
              <w:jc w:val="center"/>
              <w:rPr>
                <w:rFonts w:ascii="仿宋_GB2312" w:hAnsi="仿宋_GB2312"/>
                <w:color w:val="000000"/>
                <w:sz w:val="24"/>
                <w:szCs w:val="24"/>
                <w:shd w:val="clear" w:color="auto" w:fill="FFFFFF"/>
              </w:rPr>
            </w:pPr>
            <w:r w:rsidRPr="00B669E2">
              <w:rPr>
                <w:rFonts w:hint="eastAsia"/>
                <w:color w:val="000000"/>
                <w:sz w:val="24"/>
                <w:szCs w:val="24"/>
              </w:rPr>
              <w:t>学校食品卫生安全管理督查</w:t>
            </w:r>
          </w:p>
        </w:tc>
        <w:tc>
          <w:tcPr>
            <w:tcW w:w="1559" w:type="dxa"/>
            <w:vAlign w:val="center"/>
          </w:tcPr>
          <w:p w:rsidR="00E428B8" w:rsidRDefault="00E428B8" w:rsidP="005B3004">
            <w:pPr>
              <w:widowControl/>
              <w:jc w:val="center"/>
              <w:textAlignment w:val="center"/>
              <w:rPr>
                <w:rFonts w:ascii="仿宋_GB2312" w:eastAsia="仿宋_GB2312" w:hAnsi="宋体" w:cs="宋体"/>
                <w:kern w:val="0"/>
                <w:sz w:val="22"/>
              </w:rPr>
            </w:pPr>
            <w:r>
              <w:rPr>
                <w:rFonts w:ascii="仿宋_GB2312" w:eastAsia="仿宋_GB2312" w:hAnsi="宋体" w:cs="宋体" w:hint="eastAsia"/>
                <w:kern w:val="0"/>
                <w:sz w:val="22"/>
              </w:rPr>
              <w:t>饮食卫生管理</w:t>
            </w:r>
          </w:p>
        </w:tc>
        <w:tc>
          <w:tcPr>
            <w:tcW w:w="1134" w:type="dxa"/>
            <w:vAlign w:val="center"/>
          </w:tcPr>
          <w:p w:rsidR="008F58DC" w:rsidRPr="00B7251C" w:rsidRDefault="008F58DC" w:rsidP="008F58DC">
            <w:pPr>
              <w:spacing w:line="400" w:lineRule="exact"/>
              <w:rPr>
                <w:color w:val="000000"/>
                <w:sz w:val="24"/>
                <w:szCs w:val="24"/>
              </w:rPr>
            </w:pPr>
            <w:r w:rsidRPr="00B7251C">
              <w:rPr>
                <w:rFonts w:hint="eastAsia"/>
                <w:color w:val="000000"/>
                <w:sz w:val="24"/>
                <w:szCs w:val="24"/>
              </w:rPr>
              <w:t>公民办学校</w:t>
            </w:r>
            <w:r>
              <w:rPr>
                <w:rFonts w:hint="eastAsia"/>
                <w:color w:val="000000"/>
                <w:sz w:val="24"/>
                <w:szCs w:val="24"/>
              </w:rPr>
              <w:t>幼儿园等</w:t>
            </w:r>
          </w:p>
          <w:p w:rsidR="00E428B8" w:rsidRDefault="00E428B8" w:rsidP="005B3004">
            <w:pPr>
              <w:rPr>
                <w:rFonts w:ascii="仿宋_GB2312" w:eastAsia="仿宋_GB2312" w:hAnsi="宋体" w:cs="宋体"/>
                <w:kern w:val="0"/>
                <w:sz w:val="22"/>
              </w:rPr>
            </w:pPr>
          </w:p>
        </w:tc>
        <w:tc>
          <w:tcPr>
            <w:tcW w:w="1134" w:type="dxa"/>
            <w:vAlign w:val="center"/>
          </w:tcPr>
          <w:p w:rsidR="00E428B8" w:rsidRDefault="00E428B8" w:rsidP="005B3004">
            <w:pPr>
              <w:rPr>
                <w:rFonts w:ascii="仿宋_GB2312" w:eastAsia="仿宋_GB2312" w:hAnsi="宋体" w:cs="宋体"/>
                <w:kern w:val="0"/>
                <w:sz w:val="22"/>
              </w:rPr>
            </w:pPr>
            <w:r>
              <w:rPr>
                <w:rFonts w:ascii="仿宋_GB2312" w:eastAsia="仿宋_GB2312" w:hAnsi="宋体" w:cs="宋体" w:hint="eastAsia"/>
                <w:kern w:val="0"/>
                <w:sz w:val="22"/>
              </w:rPr>
              <w:t>重点检查事项</w:t>
            </w:r>
          </w:p>
        </w:tc>
        <w:tc>
          <w:tcPr>
            <w:tcW w:w="1276" w:type="dxa"/>
            <w:vAlign w:val="center"/>
          </w:tcPr>
          <w:p w:rsidR="00E428B8" w:rsidRDefault="00E428B8" w:rsidP="005B3004">
            <w:pPr>
              <w:jc w:val="center"/>
              <w:rPr>
                <w:rFonts w:ascii="仿宋_GB2312" w:eastAsia="仿宋_GB2312" w:hAnsi="宋体" w:cs="宋体"/>
                <w:kern w:val="0"/>
                <w:sz w:val="22"/>
              </w:rPr>
            </w:pPr>
            <w:r>
              <w:rPr>
                <w:rFonts w:ascii="仿宋_GB2312" w:eastAsia="仿宋_GB2312" w:hAnsi="宋体" w:cs="宋体" w:hint="eastAsia"/>
                <w:kern w:val="0"/>
                <w:sz w:val="22"/>
              </w:rPr>
              <w:t>现场检查</w:t>
            </w:r>
          </w:p>
        </w:tc>
        <w:tc>
          <w:tcPr>
            <w:tcW w:w="567" w:type="dxa"/>
            <w:vAlign w:val="center"/>
          </w:tcPr>
          <w:p w:rsidR="00E428B8" w:rsidRDefault="00E428B8" w:rsidP="005B3004">
            <w:pPr>
              <w:rPr>
                <w:rFonts w:ascii="仿宋_GB2312" w:eastAsia="仿宋_GB2312" w:hAnsi="宋体" w:cs="宋体"/>
                <w:kern w:val="0"/>
                <w:sz w:val="22"/>
              </w:rPr>
            </w:pPr>
            <w:r>
              <w:rPr>
                <w:rFonts w:ascii="仿宋_GB2312" w:eastAsia="仿宋_GB2312" w:hAnsi="宋体" w:cs="宋体" w:hint="eastAsia"/>
                <w:kern w:val="0"/>
                <w:sz w:val="22"/>
              </w:rPr>
              <w:t>市、县（区）级教育部门</w:t>
            </w:r>
          </w:p>
        </w:tc>
        <w:tc>
          <w:tcPr>
            <w:tcW w:w="6520" w:type="dxa"/>
            <w:vAlign w:val="center"/>
          </w:tcPr>
          <w:p w:rsidR="00E428B8" w:rsidRPr="005F6FFD" w:rsidRDefault="00E428B8" w:rsidP="002B2C8C">
            <w:pPr>
              <w:spacing w:line="360" w:lineRule="exact"/>
              <w:jc w:val="left"/>
              <w:rPr>
                <w:rFonts w:ascii="仿宋_GB2312"/>
                <w:color w:val="000000"/>
                <w:sz w:val="24"/>
                <w:szCs w:val="24"/>
              </w:rPr>
            </w:pPr>
            <w:r w:rsidRPr="00B669E2">
              <w:rPr>
                <w:rFonts w:ascii="仿宋_GB2312" w:hint="eastAsia"/>
                <w:color w:val="000000"/>
                <w:sz w:val="24"/>
                <w:szCs w:val="24"/>
              </w:rPr>
              <w:t>《学校食堂与学生集体用餐卫生管理规定》（</w:t>
            </w:r>
            <w:r w:rsidRPr="00B669E2">
              <w:rPr>
                <w:rFonts w:ascii="仿宋_GB2312"/>
                <w:color w:val="000000"/>
                <w:sz w:val="24"/>
                <w:szCs w:val="24"/>
              </w:rPr>
              <w:t>2002</w:t>
            </w:r>
            <w:r w:rsidRPr="00B669E2">
              <w:rPr>
                <w:rFonts w:ascii="仿宋_GB2312" w:hint="eastAsia"/>
                <w:color w:val="000000"/>
                <w:sz w:val="24"/>
                <w:szCs w:val="24"/>
              </w:rPr>
              <w:t>年教育部、卫生部令第</w:t>
            </w:r>
            <w:r w:rsidRPr="00B669E2">
              <w:rPr>
                <w:rFonts w:ascii="仿宋_GB2312"/>
                <w:color w:val="000000"/>
                <w:sz w:val="24"/>
                <w:szCs w:val="24"/>
              </w:rPr>
              <w:t>14</w:t>
            </w:r>
            <w:r w:rsidRPr="00B669E2">
              <w:rPr>
                <w:rFonts w:ascii="仿宋_GB2312" w:hint="eastAsia"/>
                <w:color w:val="000000"/>
                <w:sz w:val="24"/>
                <w:szCs w:val="24"/>
              </w:rPr>
              <w:t>号）第三条</w:t>
            </w:r>
            <w:r w:rsidRPr="00B669E2">
              <w:rPr>
                <w:rFonts w:ascii="仿宋_GB2312" w:hint="cs"/>
                <w:color w:val="000000"/>
                <w:sz w:val="24"/>
                <w:szCs w:val="24"/>
              </w:rPr>
              <w:t> </w:t>
            </w:r>
            <w:r w:rsidRPr="00B669E2">
              <w:rPr>
                <w:rFonts w:ascii="仿宋_GB2312" w:hint="eastAsia"/>
                <w:color w:val="000000"/>
                <w:sz w:val="24"/>
                <w:szCs w:val="24"/>
              </w:rPr>
              <w:t>学校食堂与学生集体用餐的卫生管理必须坚持预防为主的工作方针，实行卫生行政部门监督指导、教育行政部门管理督查、学校具体实施的工作原则。</w:t>
            </w:r>
          </w:p>
        </w:tc>
      </w:tr>
      <w:tr w:rsidR="00E428B8" w:rsidTr="00E428B8">
        <w:trPr>
          <w:trHeight w:val="1684"/>
        </w:trPr>
        <w:tc>
          <w:tcPr>
            <w:tcW w:w="993" w:type="dxa"/>
            <w:vAlign w:val="center"/>
          </w:tcPr>
          <w:p w:rsidR="00E428B8" w:rsidRPr="005F6FFD" w:rsidRDefault="00E428B8" w:rsidP="005B3004">
            <w:pPr>
              <w:spacing w:line="400" w:lineRule="exact"/>
              <w:jc w:val="center"/>
              <w:rPr>
                <w:color w:val="000000"/>
                <w:sz w:val="24"/>
                <w:szCs w:val="24"/>
              </w:rPr>
            </w:pPr>
            <w:r w:rsidRPr="005F6FFD">
              <w:rPr>
                <w:rFonts w:hint="eastAsia"/>
                <w:color w:val="000000"/>
                <w:sz w:val="24"/>
                <w:szCs w:val="24"/>
              </w:rPr>
              <w:t>4</w:t>
            </w:r>
          </w:p>
          <w:p w:rsidR="00E428B8" w:rsidRPr="005F6FFD" w:rsidRDefault="00E428B8" w:rsidP="005B3004">
            <w:pPr>
              <w:spacing w:line="400" w:lineRule="exact"/>
              <w:jc w:val="center"/>
              <w:rPr>
                <w:color w:val="000000"/>
                <w:sz w:val="24"/>
                <w:szCs w:val="24"/>
              </w:rPr>
            </w:pPr>
          </w:p>
        </w:tc>
        <w:tc>
          <w:tcPr>
            <w:tcW w:w="1560" w:type="dxa"/>
            <w:vAlign w:val="center"/>
          </w:tcPr>
          <w:p w:rsidR="00E428B8" w:rsidRPr="005F6FFD" w:rsidRDefault="00E428B8" w:rsidP="005B3004">
            <w:pPr>
              <w:spacing w:line="400" w:lineRule="exact"/>
              <w:jc w:val="center"/>
              <w:rPr>
                <w:rFonts w:ascii="仿宋_GB2312" w:hAnsi="仿宋_GB2312"/>
                <w:color w:val="000000"/>
                <w:sz w:val="24"/>
                <w:szCs w:val="24"/>
                <w:shd w:val="clear" w:color="auto" w:fill="FFFFFF"/>
              </w:rPr>
            </w:pPr>
            <w:r w:rsidRPr="00D32B2C">
              <w:rPr>
                <w:rFonts w:ascii="仿宋_GB2312" w:hAnsi="仿宋_GB2312" w:hint="eastAsia"/>
                <w:color w:val="000000"/>
                <w:sz w:val="24"/>
                <w:szCs w:val="24"/>
                <w:shd w:val="clear" w:color="auto" w:fill="FFFFFF"/>
              </w:rPr>
              <w:t>对学校安全工作的监督管理</w:t>
            </w:r>
          </w:p>
          <w:p w:rsidR="00E428B8" w:rsidRPr="005F6FFD" w:rsidRDefault="00E428B8" w:rsidP="005B3004">
            <w:pPr>
              <w:spacing w:line="400" w:lineRule="exact"/>
              <w:jc w:val="center"/>
              <w:rPr>
                <w:rFonts w:ascii="仿宋_GB2312" w:hAnsi="仿宋_GB2312"/>
                <w:color w:val="000000"/>
                <w:sz w:val="24"/>
                <w:szCs w:val="24"/>
                <w:shd w:val="clear" w:color="auto" w:fill="FFFFFF"/>
              </w:rPr>
            </w:pPr>
          </w:p>
        </w:tc>
        <w:tc>
          <w:tcPr>
            <w:tcW w:w="1559" w:type="dxa"/>
            <w:vAlign w:val="center"/>
          </w:tcPr>
          <w:p w:rsidR="00E428B8" w:rsidRDefault="00E428B8" w:rsidP="005B3004">
            <w:pPr>
              <w:widowControl/>
              <w:jc w:val="center"/>
              <w:textAlignment w:val="center"/>
              <w:rPr>
                <w:rFonts w:ascii="仿宋_GB2312" w:eastAsia="仿宋_GB2312" w:hAnsi="宋体" w:cs="宋体"/>
                <w:kern w:val="0"/>
                <w:sz w:val="22"/>
              </w:rPr>
            </w:pPr>
            <w:r>
              <w:rPr>
                <w:rFonts w:ascii="仿宋_GB2312" w:eastAsia="仿宋_GB2312" w:hAnsi="宋体" w:cs="宋体" w:hint="eastAsia"/>
                <w:kern w:val="0"/>
                <w:sz w:val="22"/>
              </w:rPr>
              <w:t>安全管理</w:t>
            </w:r>
          </w:p>
        </w:tc>
        <w:tc>
          <w:tcPr>
            <w:tcW w:w="1134" w:type="dxa"/>
            <w:vAlign w:val="center"/>
          </w:tcPr>
          <w:p w:rsidR="008F58DC" w:rsidRPr="00B7251C" w:rsidRDefault="008F58DC" w:rsidP="008F58DC">
            <w:pPr>
              <w:spacing w:line="400" w:lineRule="exact"/>
              <w:rPr>
                <w:color w:val="000000"/>
                <w:sz w:val="24"/>
                <w:szCs w:val="24"/>
              </w:rPr>
            </w:pPr>
            <w:r w:rsidRPr="00B7251C">
              <w:rPr>
                <w:rFonts w:hint="eastAsia"/>
                <w:color w:val="000000"/>
                <w:sz w:val="24"/>
                <w:szCs w:val="24"/>
              </w:rPr>
              <w:t>公民办学校</w:t>
            </w:r>
            <w:r>
              <w:rPr>
                <w:rFonts w:hint="eastAsia"/>
                <w:color w:val="000000"/>
                <w:sz w:val="24"/>
                <w:szCs w:val="24"/>
              </w:rPr>
              <w:t>幼儿园等</w:t>
            </w:r>
          </w:p>
          <w:p w:rsidR="00E428B8" w:rsidRDefault="00E428B8" w:rsidP="005B3004">
            <w:pPr>
              <w:rPr>
                <w:rFonts w:ascii="仿宋_GB2312" w:eastAsia="仿宋_GB2312" w:hAnsi="宋体" w:cs="宋体"/>
                <w:kern w:val="0"/>
                <w:sz w:val="22"/>
              </w:rPr>
            </w:pPr>
          </w:p>
        </w:tc>
        <w:tc>
          <w:tcPr>
            <w:tcW w:w="1134" w:type="dxa"/>
            <w:vAlign w:val="center"/>
          </w:tcPr>
          <w:p w:rsidR="00E428B8" w:rsidRDefault="00E428B8" w:rsidP="005B3004">
            <w:pPr>
              <w:rPr>
                <w:rFonts w:ascii="仿宋_GB2312" w:eastAsia="仿宋_GB2312" w:hAnsi="宋体" w:cs="宋体"/>
                <w:kern w:val="0"/>
                <w:sz w:val="22"/>
              </w:rPr>
            </w:pPr>
            <w:r>
              <w:rPr>
                <w:rFonts w:ascii="仿宋_GB2312" w:eastAsia="仿宋_GB2312" w:hAnsi="宋体" w:cs="宋体" w:hint="eastAsia"/>
                <w:kern w:val="0"/>
                <w:sz w:val="22"/>
              </w:rPr>
              <w:t>重点检查事项</w:t>
            </w:r>
          </w:p>
        </w:tc>
        <w:tc>
          <w:tcPr>
            <w:tcW w:w="1276" w:type="dxa"/>
            <w:vAlign w:val="center"/>
          </w:tcPr>
          <w:p w:rsidR="00E428B8" w:rsidRDefault="00E428B8" w:rsidP="005B3004">
            <w:pPr>
              <w:jc w:val="center"/>
              <w:rPr>
                <w:rFonts w:ascii="仿宋_GB2312" w:eastAsia="仿宋_GB2312" w:hAnsi="宋体" w:cs="宋体"/>
                <w:kern w:val="0"/>
                <w:sz w:val="22"/>
              </w:rPr>
            </w:pPr>
            <w:r>
              <w:rPr>
                <w:rFonts w:ascii="仿宋_GB2312" w:eastAsia="仿宋_GB2312" w:hAnsi="宋体" w:cs="宋体" w:hint="eastAsia"/>
                <w:kern w:val="0"/>
                <w:sz w:val="22"/>
              </w:rPr>
              <w:t>现场检查</w:t>
            </w:r>
          </w:p>
        </w:tc>
        <w:tc>
          <w:tcPr>
            <w:tcW w:w="567" w:type="dxa"/>
            <w:vAlign w:val="center"/>
          </w:tcPr>
          <w:p w:rsidR="00E428B8" w:rsidRDefault="00E428B8" w:rsidP="005B3004">
            <w:pPr>
              <w:rPr>
                <w:rFonts w:ascii="仿宋_GB2312" w:eastAsia="仿宋_GB2312" w:hAnsi="宋体" w:cs="宋体"/>
                <w:kern w:val="0"/>
                <w:sz w:val="22"/>
              </w:rPr>
            </w:pPr>
            <w:r>
              <w:rPr>
                <w:rFonts w:ascii="仿宋_GB2312" w:eastAsia="仿宋_GB2312" w:hAnsi="宋体" w:cs="宋体" w:hint="eastAsia"/>
                <w:kern w:val="0"/>
                <w:sz w:val="22"/>
              </w:rPr>
              <w:t>市、县（区）级教育部门</w:t>
            </w:r>
          </w:p>
        </w:tc>
        <w:tc>
          <w:tcPr>
            <w:tcW w:w="6520" w:type="dxa"/>
            <w:vAlign w:val="center"/>
          </w:tcPr>
          <w:p w:rsidR="00E428B8" w:rsidRPr="005F6FFD" w:rsidRDefault="00E428B8" w:rsidP="005B3004">
            <w:pPr>
              <w:spacing w:line="400" w:lineRule="exact"/>
              <w:jc w:val="left"/>
              <w:rPr>
                <w:color w:val="000000"/>
                <w:sz w:val="24"/>
                <w:szCs w:val="24"/>
              </w:rPr>
            </w:pPr>
            <w:r w:rsidRPr="00D32B2C">
              <w:rPr>
                <w:color w:val="000000"/>
                <w:sz w:val="24"/>
                <w:szCs w:val="24"/>
              </w:rPr>
              <w:t>1.</w:t>
            </w:r>
            <w:r w:rsidRPr="00D32B2C">
              <w:rPr>
                <w:rFonts w:hint="eastAsia"/>
                <w:color w:val="000000"/>
                <w:sz w:val="24"/>
                <w:szCs w:val="24"/>
              </w:rPr>
              <w:t>《中小学幼儿园安全管理办法》（</w:t>
            </w:r>
            <w:r w:rsidRPr="00D32B2C">
              <w:rPr>
                <w:color w:val="000000"/>
                <w:sz w:val="24"/>
                <w:szCs w:val="24"/>
              </w:rPr>
              <w:t>2006</w:t>
            </w:r>
            <w:r w:rsidRPr="00D32B2C">
              <w:rPr>
                <w:rFonts w:hint="eastAsia"/>
                <w:color w:val="000000"/>
                <w:sz w:val="24"/>
                <w:szCs w:val="24"/>
              </w:rPr>
              <w:t>年教育部令第</w:t>
            </w:r>
            <w:r w:rsidRPr="00D32B2C">
              <w:rPr>
                <w:color w:val="000000"/>
                <w:sz w:val="24"/>
                <w:szCs w:val="24"/>
              </w:rPr>
              <w:t>23</w:t>
            </w:r>
            <w:r w:rsidRPr="00D32B2C">
              <w:rPr>
                <w:rFonts w:hint="eastAsia"/>
                <w:color w:val="000000"/>
                <w:sz w:val="24"/>
                <w:szCs w:val="24"/>
              </w:rPr>
              <w:t>号）第七条</w:t>
            </w:r>
            <w:r w:rsidRPr="00D32B2C">
              <w:rPr>
                <w:rFonts w:hint="cs"/>
                <w:color w:val="000000"/>
                <w:sz w:val="24"/>
                <w:szCs w:val="24"/>
              </w:rPr>
              <w:t> </w:t>
            </w:r>
            <w:r w:rsidRPr="00D32B2C">
              <w:rPr>
                <w:rFonts w:hint="eastAsia"/>
                <w:color w:val="000000"/>
                <w:sz w:val="24"/>
                <w:szCs w:val="24"/>
              </w:rPr>
              <w:t>教育行政部门对学校安全工作履行下列职责：（一）全面掌握学校安全工作状况，制定学校安全工作考核目标，加强对学校安全工作的检查指导，督促学校建立健全并落实安全管理制度；（二）建立安全工作责任制和事故责任追究制，及时消除安全隐患，指导学校妥善处理学生伤害事故；（三）及时了解学校安全教育情况，组织学校有针对性地开展学生安全教育，不断提高教育实效；（四）制定校园安全的应急预案，指导、监督下级教育行政部门和学校开展安全工作；（五）协调政府其他相关职能部门共同做好学校安全。第二十条</w:t>
            </w:r>
            <w:r w:rsidRPr="00D32B2C">
              <w:rPr>
                <w:rFonts w:hint="cs"/>
                <w:color w:val="000000"/>
                <w:sz w:val="24"/>
                <w:szCs w:val="24"/>
              </w:rPr>
              <w:t> </w:t>
            </w:r>
            <w:r w:rsidRPr="00D32B2C">
              <w:rPr>
                <w:rFonts w:hint="eastAsia"/>
                <w:color w:val="000000"/>
                <w:sz w:val="24"/>
                <w:szCs w:val="24"/>
              </w:rPr>
              <w:t>县级以上地方人民政府教育行政部门应当会同有关行政部门制定学校安全手册，指导学校建立信息化安全管理平台。</w:t>
            </w:r>
          </w:p>
        </w:tc>
      </w:tr>
    </w:tbl>
    <w:p w:rsidR="00F43E31" w:rsidRDefault="00F43E31">
      <w:r>
        <w:rPr>
          <w:rFonts w:ascii="仿宋_GB2312" w:eastAsia="仿宋_GB2312" w:hAnsi="黑体" w:hint="eastAsia"/>
          <w:sz w:val="28"/>
          <w:szCs w:val="28"/>
        </w:rPr>
        <w:lastRenderedPageBreak/>
        <w:t>备注：事项类别分为“一般检查事项”和“重点检查事项”；检查主体根据层级确定；检查方式自行确定。</w:t>
      </w:r>
    </w:p>
    <w:sectPr w:rsidR="00F43E31" w:rsidSect="00EA4DD4">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E45" w:rsidRDefault="006F5E45" w:rsidP="005B7FFE">
      <w:r>
        <w:separator/>
      </w:r>
    </w:p>
  </w:endnote>
  <w:endnote w:type="continuationSeparator" w:id="1">
    <w:p w:rsidR="006F5E45" w:rsidRDefault="006F5E45" w:rsidP="005B7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E45" w:rsidRDefault="006F5E45" w:rsidP="005B7FFE">
      <w:r>
        <w:separator/>
      </w:r>
    </w:p>
  </w:footnote>
  <w:footnote w:type="continuationSeparator" w:id="1">
    <w:p w:rsidR="006F5E45" w:rsidRDefault="006F5E45" w:rsidP="005B7F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FFE"/>
    <w:rsid w:val="00005615"/>
    <w:rsid w:val="00291D0E"/>
    <w:rsid w:val="004927DB"/>
    <w:rsid w:val="005B7FFE"/>
    <w:rsid w:val="006F5E45"/>
    <w:rsid w:val="00741988"/>
    <w:rsid w:val="0084608D"/>
    <w:rsid w:val="008F58DC"/>
    <w:rsid w:val="009A5102"/>
    <w:rsid w:val="00A15783"/>
    <w:rsid w:val="00A520BC"/>
    <w:rsid w:val="00AF73AB"/>
    <w:rsid w:val="00DC38EB"/>
    <w:rsid w:val="00DE2368"/>
    <w:rsid w:val="00E428B8"/>
    <w:rsid w:val="00E63377"/>
    <w:rsid w:val="00EA4DD4"/>
    <w:rsid w:val="00F43E31"/>
    <w:rsid w:val="01460D0C"/>
    <w:rsid w:val="02ED7396"/>
    <w:rsid w:val="09CE78AB"/>
    <w:rsid w:val="12A54BDE"/>
    <w:rsid w:val="1E5A132B"/>
    <w:rsid w:val="28BA327D"/>
    <w:rsid w:val="2B936CB2"/>
    <w:rsid w:val="339E721C"/>
    <w:rsid w:val="3AE335D9"/>
    <w:rsid w:val="3B40523D"/>
    <w:rsid w:val="400A1636"/>
    <w:rsid w:val="43D71053"/>
    <w:rsid w:val="45662F04"/>
    <w:rsid w:val="471578F6"/>
    <w:rsid w:val="4CFD5C8C"/>
    <w:rsid w:val="4D922634"/>
    <w:rsid w:val="4DCB4F9B"/>
    <w:rsid w:val="5502272A"/>
    <w:rsid w:val="56D1377E"/>
    <w:rsid w:val="5CBA5DE4"/>
    <w:rsid w:val="5F5A16E7"/>
    <w:rsid w:val="63846FB2"/>
    <w:rsid w:val="653E0B5F"/>
    <w:rsid w:val="662051D7"/>
    <w:rsid w:val="6DA57321"/>
    <w:rsid w:val="71FF0623"/>
    <w:rsid w:val="7DDB3B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DD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A4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B7F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B7FFE"/>
    <w:rPr>
      <w:rFonts w:ascii="Calibri" w:hAnsi="Calibri"/>
      <w:kern w:val="2"/>
      <w:sz w:val="18"/>
      <w:szCs w:val="18"/>
    </w:rPr>
  </w:style>
  <w:style w:type="paragraph" w:styleId="a5">
    <w:name w:val="footer"/>
    <w:basedOn w:val="a"/>
    <w:link w:val="Char0"/>
    <w:rsid w:val="005B7FFE"/>
    <w:pPr>
      <w:tabs>
        <w:tab w:val="center" w:pos="4153"/>
        <w:tab w:val="right" w:pos="8306"/>
      </w:tabs>
      <w:snapToGrid w:val="0"/>
      <w:jc w:val="left"/>
    </w:pPr>
    <w:rPr>
      <w:sz w:val="18"/>
      <w:szCs w:val="18"/>
    </w:rPr>
  </w:style>
  <w:style w:type="character" w:customStyle="1" w:styleId="Char0">
    <w:name w:val="页脚 Char"/>
    <w:basedOn w:val="a0"/>
    <w:link w:val="a5"/>
    <w:rsid w:val="005B7FF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4</Pages>
  <Words>228</Words>
  <Characters>1306</Characters>
  <Application>Microsoft Office Word</Application>
  <DocSecurity>0</DocSecurity>
  <Lines>10</Lines>
  <Paragraphs>3</Paragraphs>
  <ScaleCrop>false</ScaleCrop>
  <Company>Microsoft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李慧</cp:lastModifiedBy>
  <cp:revision>21</cp:revision>
  <cp:lastPrinted>2020-03-12T08:02:00Z</cp:lastPrinted>
  <dcterms:created xsi:type="dcterms:W3CDTF">2019-08-16T07:56:00Z</dcterms:created>
  <dcterms:modified xsi:type="dcterms:W3CDTF">2020-03-13T03:38:00Z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